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1739C" w14:textId="77777777" w:rsidR="00D075B3" w:rsidRDefault="00D075B3" w:rsidP="00D22402">
      <w:pPr>
        <w:jc w:val="right"/>
        <w:rPr>
          <w:rFonts w:ascii="Adobe Caslon Pro Bold" w:hAnsi="Adobe Caslon Pro Bold"/>
          <w:color w:val="808080" w:themeColor="background1" w:themeShade="80"/>
          <w:sz w:val="18"/>
          <w:szCs w:val="18"/>
        </w:rPr>
      </w:pPr>
    </w:p>
    <w:p w14:paraId="549CE650" w14:textId="77777777" w:rsidR="00D075B3" w:rsidRDefault="00D075B3" w:rsidP="00D22402">
      <w:pPr>
        <w:jc w:val="right"/>
        <w:rPr>
          <w:rFonts w:ascii="Adobe Caslon Pro Bold" w:hAnsi="Adobe Caslon Pro Bold"/>
          <w:color w:val="808080" w:themeColor="background1" w:themeShade="80"/>
          <w:sz w:val="18"/>
          <w:szCs w:val="18"/>
        </w:rPr>
      </w:pPr>
    </w:p>
    <w:p w14:paraId="223C5F36" w14:textId="77777777" w:rsidR="00D075B3" w:rsidRDefault="00D075B3" w:rsidP="00D22402">
      <w:pPr>
        <w:jc w:val="right"/>
        <w:rPr>
          <w:rFonts w:ascii="Adobe Caslon Pro Bold" w:hAnsi="Adobe Caslon Pro Bold"/>
          <w:color w:val="808080" w:themeColor="background1" w:themeShade="80"/>
          <w:sz w:val="18"/>
          <w:szCs w:val="18"/>
        </w:rPr>
      </w:pPr>
    </w:p>
    <w:p w14:paraId="011D4D6C" w14:textId="77777777" w:rsidR="00D075B3" w:rsidRDefault="00D075B3" w:rsidP="00D22402">
      <w:pPr>
        <w:jc w:val="right"/>
        <w:rPr>
          <w:rFonts w:ascii="Adobe Caslon Pro Bold" w:hAnsi="Adobe Caslon Pro Bold"/>
          <w:color w:val="808080" w:themeColor="background1" w:themeShade="80"/>
          <w:sz w:val="18"/>
          <w:szCs w:val="18"/>
        </w:rPr>
      </w:pPr>
    </w:p>
    <w:p w14:paraId="5C2FE18E" w14:textId="77777777" w:rsidR="00D075B3" w:rsidRDefault="00D075B3" w:rsidP="00D22402">
      <w:pPr>
        <w:jc w:val="right"/>
        <w:rPr>
          <w:rFonts w:ascii="Adobe Caslon Pro Bold" w:hAnsi="Adobe Caslon Pro Bold"/>
          <w:color w:val="808080" w:themeColor="background1" w:themeShade="80"/>
          <w:sz w:val="18"/>
          <w:szCs w:val="18"/>
        </w:rPr>
      </w:pPr>
    </w:p>
    <w:p w14:paraId="6FE97120" w14:textId="77777777" w:rsidR="004A4048" w:rsidRDefault="004A4048" w:rsidP="005272DB">
      <w:pPr>
        <w:ind w:right="-660"/>
        <w:jc w:val="right"/>
        <w:rPr>
          <w:rFonts w:ascii="Times New Roman" w:hAnsi="Times New Roman" w:cs="Times New Roman"/>
          <w:sz w:val="18"/>
          <w:szCs w:val="18"/>
          <w:lang w:val="es-ES"/>
        </w:rPr>
      </w:pPr>
    </w:p>
    <w:p w14:paraId="62278CCB" w14:textId="07FD1BB0" w:rsidR="00DA0742" w:rsidRDefault="0078353F" w:rsidP="005272DB">
      <w:pPr>
        <w:ind w:right="-660"/>
        <w:jc w:val="right"/>
        <w:rPr>
          <w:rFonts w:ascii="Soberana Sans Black" w:hAnsi="Soberana Sans Black"/>
          <w:color w:val="808080" w:themeColor="background1" w:themeShade="80"/>
          <w:sz w:val="18"/>
          <w:szCs w:val="18"/>
        </w:rPr>
      </w:pPr>
      <w:r w:rsidRPr="0078353F">
        <w:rPr>
          <w:rFonts w:ascii="Times New Roman" w:hAnsi="Times New Roman" w:cs="Times New Roman"/>
          <w:sz w:val="18"/>
          <w:szCs w:val="18"/>
          <w:lang w:val="es-ES"/>
        </w:rPr>
        <w:t>“2015, Año del Generalísimo José María Morelos y Pavón”</w:t>
      </w:r>
      <w:r>
        <w:rPr>
          <w:rFonts w:ascii="Times New Roman" w:hAnsi="Times New Roman" w:cs="Times New Roman"/>
          <w:sz w:val="18"/>
          <w:szCs w:val="18"/>
          <w:lang w:val="es-ES"/>
        </w:rPr>
        <w:t>.</w:t>
      </w:r>
    </w:p>
    <w:p w14:paraId="5808B883" w14:textId="77777777" w:rsidR="009658CB" w:rsidRDefault="009658CB" w:rsidP="005272DB">
      <w:pPr>
        <w:ind w:right="-660"/>
        <w:jc w:val="right"/>
        <w:rPr>
          <w:rFonts w:ascii="Soberana Sans Black" w:hAnsi="Soberana Sans Black"/>
          <w:color w:val="808080" w:themeColor="background1" w:themeShade="80"/>
          <w:sz w:val="18"/>
          <w:szCs w:val="18"/>
        </w:rPr>
      </w:pPr>
    </w:p>
    <w:p w14:paraId="70DC6634" w14:textId="5F520E62" w:rsidR="005272DB" w:rsidRPr="008E474F" w:rsidRDefault="005272DB" w:rsidP="005272DB">
      <w:pPr>
        <w:ind w:right="-660"/>
        <w:jc w:val="right"/>
        <w:rPr>
          <w:rFonts w:ascii="Soberana Sans Black" w:hAnsi="Soberana Sans Black"/>
          <w:color w:val="808080" w:themeColor="background1" w:themeShade="80"/>
          <w:sz w:val="18"/>
          <w:szCs w:val="18"/>
        </w:rPr>
      </w:pPr>
      <w:r w:rsidRPr="008E474F">
        <w:rPr>
          <w:rFonts w:ascii="Soberana Sans Black" w:hAnsi="Soberana Sans Black"/>
          <w:color w:val="808080" w:themeColor="background1" w:themeShade="80"/>
          <w:sz w:val="18"/>
          <w:szCs w:val="18"/>
        </w:rPr>
        <w:t xml:space="preserve">Dirección </w:t>
      </w:r>
      <w:r w:rsidR="001D15B2" w:rsidRPr="008E474F">
        <w:rPr>
          <w:rFonts w:ascii="Soberana Sans Black" w:hAnsi="Soberana Sans Black"/>
          <w:color w:val="808080" w:themeColor="background1" w:themeShade="80"/>
          <w:sz w:val="18"/>
          <w:szCs w:val="18"/>
        </w:rPr>
        <w:t>Adjunta</w:t>
      </w:r>
      <w:r w:rsidR="00012F4D">
        <w:rPr>
          <w:rFonts w:ascii="Soberana Sans Black" w:hAnsi="Soberana Sans Black"/>
          <w:color w:val="808080" w:themeColor="background1" w:themeShade="80"/>
          <w:sz w:val="18"/>
          <w:szCs w:val="18"/>
        </w:rPr>
        <w:t xml:space="preserve"> de Desarrollo Científico</w:t>
      </w:r>
    </w:p>
    <w:p w14:paraId="5249CDC7" w14:textId="4E53CDC1" w:rsidR="005272DB" w:rsidRDefault="00012F4D" w:rsidP="005272DB">
      <w:pPr>
        <w:ind w:right="-660"/>
        <w:jc w:val="right"/>
        <w:rPr>
          <w:rFonts w:ascii="Soberana Sans" w:hAnsi="Soberana Sans"/>
          <w:color w:val="808080" w:themeColor="background1" w:themeShade="80"/>
          <w:sz w:val="18"/>
          <w:szCs w:val="18"/>
        </w:rPr>
      </w:pPr>
      <w:r>
        <w:rPr>
          <w:rFonts w:ascii="Soberana Sans" w:hAnsi="Soberana Sans"/>
          <w:color w:val="808080" w:themeColor="background1" w:themeShade="80"/>
          <w:sz w:val="18"/>
          <w:szCs w:val="18"/>
        </w:rPr>
        <w:t xml:space="preserve"> Dirección del Sistema Nacional de Investigadores</w:t>
      </w:r>
    </w:p>
    <w:p w14:paraId="3AE7166B" w14:textId="77777777" w:rsidR="00012F4D" w:rsidRDefault="00012F4D" w:rsidP="005272DB">
      <w:pPr>
        <w:ind w:right="-660"/>
        <w:jc w:val="right"/>
        <w:rPr>
          <w:rFonts w:ascii="Soberana Sans" w:hAnsi="Soberana Sans"/>
          <w:color w:val="808080" w:themeColor="background1" w:themeShade="80"/>
          <w:sz w:val="18"/>
          <w:szCs w:val="18"/>
        </w:rPr>
      </w:pPr>
    </w:p>
    <w:p w14:paraId="6CD19F37" w14:textId="77777777" w:rsidR="00012F4D" w:rsidRDefault="00012F4D" w:rsidP="00012F4D">
      <w:pPr>
        <w:jc w:val="both"/>
        <w:rPr>
          <w:rFonts w:ascii="Palatino Linotype" w:eastAsia="Times New Roman" w:hAnsi="Palatino Linotype" w:cs="Times New Roman"/>
          <w:color w:val="365F91" w:themeColor="accent1" w:themeShade="BF"/>
          <w:lang w:eastAsia="es-MX"/>
        </w:rPr>
      </w:pPr>
    </w:p>
    <w:p w14:paraId="25E69BBD" w14:textId="77777777" w:rsidR="00B006CD" w:rsidRPr="00537F59" w:rsidRDefault="00B006CD" w:rsidP="00D62B91">
      <w:pPr>
        <w:pStyle w:val="Prrafodelista"/>
        <w:tabs>
          <w:tab w:val="left" w:pos="426"/>
          <w:tab w:val="left" w:pos="567"/>
        </w:tabs>
        <w:spacing w:after="0" w:line="240" w:lineRule="auto"/>
        <w:ind w:left="360"/>
        <w:jc w:val="both"/>
        <w:rPr>
          <w:rFonts w:ascii="Palatino Linotype" w:hAnsi="Palatino Linotype" w:cs="Arial"/>
          <w:b/>
          <w:bCs/>
          <w:color w:val="365F91" w:themeColor="accent1" w:themeShade="BF"/>
          <w:sz w:val="28"/>
          <w:szCs w:val="28"/>
        </w:rPr>
      </w:pPr>
      <w:r w:rsidRPr="00537F59">
        <w:rPr>
          <w:rFonts w:ascii="Palatino Linotype" w:hAnsi="Palatino Linotype" w:cs="Arial"/>
          <w:b/>
          <w:bCs/>
          <w:color w:val="365F91" w:themeColor="accent1" w:themeShade="BF"/>
          <w:sz w:val="28"/>
          <w:szCs w:val="28"/>
        </w:rPr>
        <w:t>Registro de Cuenta Bancaria.</w:t>
      </w:r>
    </w:p>
    <w:p w14:paraId="1AF15836" w14:textId="77777777" w:rsidR="00B006CD" w:rsidRPr="00A02EF6" w:rsidRDefault="00B006CD" w:rsidP="00B006CD">
      <w:pPr>
        <w:tabs>
          <w:tab w:val="left" w:pos="426"/>
          <w:tab w:val="left" w:pos="567"/>
        </w:tabs>
        <w:jc w:val="both"/>
        <w:rPr>
          <w:rFonts w:ascii="Palatino Linotype" w:hAnsi="Palatino Linotype" w:cs="Arial"/>
          <w:b/>
          <w:bCs/>
          <w:color w:val="365F91" w:themeColor="accent1" w:themeShade="BF"/>
          <w:sz w:val="28"/>
          <w:szCs w:val="28"/>
        </w:rPr>
      </w:pPr>
    </w:p>
    <w:p w14:paraId="37D1CC16" w14:textId="5F98EF31" w:rsidR="00B006CD" w:rsidRDefault="00B006CD" w:rsidP="00B006CD">
      <w:pPr>
        <w:jc w:val="both"/>
        <w:rPr>
          <w:rFonts w:cs="Arial"/>
          <w:bCs/>
          <w:color w:val="17365D"/>
        </w:rPr>
      </w:pPr>
      <w:r>
        <w:rPr>
          <w:rFonts w:cs="Arial"/>
          <w:bCs/>
          <w:color w:val="17365D"/>
        </w:rPr>
        <w:t xml:space="preserve">Los investigadores de </w:t>
      </w:r>
      <w:r>
        <w:rPr>
          <w:rFonts w:cs="Arial"/>
          <w:bCs/>
          <w:color w:val="17365D"/>
          <w:u w:val="single"/>
        </w:rPr>
        <w:t>Nuevo Ingreso y Reingreso No Vigente</w:t>
      </w:r>
      <w:r>
        <w:rPr>
          <w:rFonts w:cs="Arial"/>
          <w:bCs/>
          <w:color w:val="17365D"/>
        </w:rPr>
        <w:t xml:space="preserve"> que, de acuerdo con lo establecido en el Reglamento del S.N.I., tienen derecho a recibir el pago del estímulo económico, deberán efectuar el registro de una cuenta bancaria para recibir los depósitos correspondientes. El procedimiento para registrar la cuenta bancaria, que podrá realizar </w:t>
      </w:r>
      <w:r>
        <w:rPr>
          <w:rFonts w:cs="Arial"/>
          <w:bCs/>
          <w:color w:val="17365D"/>
          <w:u w:val="single"/>
        </w:rPr>
        <w:t xml:space="preserve">a partir del </w:t>
      </w:r>
      <w:r w:rsidR="00D62B91">
        <w:rPr>
          <w:rFonts w:cs="Arial"/>
          <w:bCs/>
          <w:color w:val="17365D"/>
          <w:u w:val="single"/>
        </w:rPr>
        <w:t>11 de diciembre</w:t>
      </w:r>
      <w:r>
        <w:rPr>
          <w:rFonts w:cs="Arial"/>
          <w:bCs/>
          <w:color w:val="17365D"/>
          <w:u w:val="single"/>
        </w:rPr>
        <w:t xml:space="preserve"> de 2015</w:t>
      </w:r>
      <w:r>
        <w:rPr>
          <w:rFonts w:cs="Arial"/>
          <w:bCs/>
          <w:color w:val="17365D"/>
        </w:rPr>
        <w:t xml:space="preserve">, es el siguiente: </w:t>
      </w:r>
    </w:p>
    <w:p w14:paraId="068F31E0" w14:textId="77777777" w:rsidR="00B006CD" w:rsidRDefault="00B006CD" w:rsidP="00B006CD">
      <w:pPr>
        <w:jc w:val="both"/>
        <w:rPr>
          <w:rFonts w:cs="Arial"/>
          <w:bCs/>
          <w:color w:val="17365D"/>
        </w:rPr>
      </w:pPr>
    </w:p>
    <w:p w14:paraId="3E791599" w14:textId="77777777" w:rsidR="00B006CD" w:rsidRDefault="00B006CD" w:rsidP="00B006CD">
      <w:pPr>
        <w:numPr>
          <w:ilvl w:val="0"/>
          <w:numId w:val="8"/>
        </w:numPr>
        <w:jc w:val="both"/>
        <w:rPr>
          <w:rFonts w:cs="Arial"/>
          <w:bCs/>
          <w:color w:val="17365D"/>
        </w:rPr>
      </w:pPr>
      <w:r>
        <w:rPr>
          <w:color w:val="17365D"/>
          <w:lang w:val="es-ES"/>
        </w:rPr>
        <w:t xml:space="preserve">Ingrese a su </w:t>
      </w:r>
      <w:r>
        <w:rPr>
          <w:b/>
          <w:bCs/>
          <w:color w:val="17365D"/>
          <w:lang w:val="es-ES"/>
        </w:rPr>
        <w:t>Currículum Vitae Único (CVU)</w:t>
      </w:r>
      <w:r>
        <w:rPr>
          <w:color w:val="17365D"/>
          <w:lang w:val="es-ES"/>
        </w:rPr>
        <w:t xml:space="preserve"> del CONACYT</w:t>
      </w:r>
      <w:r>
        <w:rPr>
          <w:rFonts w:cs="Arial"/>
          <w:bCs/>
          <w:color w:val="17365D"/>
        </w:rPr>
        <w:t xml:space="preserve">. </w:t>
      </w:r>
    </w:p>
    <w:p w14:paraId="463E6367" w14:textId="77777777" w:rsidR="00B006CD" w:rsidRDefault="00B006CD" w:rsidP="00B006CD">
      <w:pPr>
        <w:numPr>
          <w:ilvl w:val="0"/>
          <w:numId w:val="8"/>
        </w:numPr>
        <w:jc w:val="both"/>
        <w:rPr>
          <w:rFonts w:cs="Arial"/>
          <w:bCs/>
          <w:color w:val="17365D"/>
        </w:rPr>
      </w:pPr>
      <w:r>
        <w:rPr>
          <w:rFonts w:cs="Arial"/>
          <w:bCs/>
          <w:color w:val="17365D"/>
        </w:rPr>
        <w:t>Seleccione la opción “S.N.I.”</w:t>
      </w:r>
    </w:p>
    <w:p w14:paraId="62783192" w14:textId="77777777" w:rsidR="00B006CD" w:rsidRDefault="00B006CD" w:rsidP="00B006CD">
      <w:pPr>
        <w:numPr>
          <w:ilvl w:val="0"/>
          <w:numId w:val="8"/>
        </w:numPr>
        <w:jc w:val="both"/>
        <w:rPr>
          <w:rFonts w:cs="Arial"/>
          <w:bCs/>
          <w:color w:val="17365D"/>
        </w:rPr>
      </w:pPr>
      <w:r>
        <w:rPr>
          <w:rFonts w:cs="Arial"/>
          <w:bCs/>
          <w:color w:val="17365D"/>
        </w:rPr>
        <w:t xml:space="preserve">Ingrese a la opción "Captura de cuenta bancaria". </w:t>
      </w:r>
    </w:p>
    <w:p w14:paraId="38128EFF" w14:textId="77777777" w:rsidR="00B006CD" w:rsidRDefault="00B006CD" w:rsidP="00B006CD">
      <w:pPr>
        <w:numPr>
          <w:ilvl w:val="0"/>
          <w:numId w:val="8"/>
        </w:numPr>
        <w:jc w:val="both"/>
        <w:rPr>
          <w:rFonts w:cs="Arial"/>
          <w:bCs/>
          <w:color w:val="17365D"/>
        </w:rPr>
      </w:pPr>
      <w:r>
        <w:rPr>
          <w:rFonts w:cs="Arial"/>
          <w:bCs/>
          <w:color w:val="17365D"/>
        </w:rPr>
        <w:t xml:space="preserve">Integre los datos solicitados y verifique que esté correcta la información numérica de la cuenta bancaria y la CLABE interbancaria de 18 dígitos. </w:t>
      </w:r>
      <w:r>
        <w:rPr>
          <w:color w:val="17365D"/>
        </w:rPr>
        <w:t xml:space="preserve">LA CLABE INTERBANCARIA REQUISITADA POR EL SISTEMA TIENE QUE SOLICITARLA DIRECTAMENTE EN LA SUCURSAL BANCARIA, SU PREFIJO ES </w:t>
      </w:r>
      <w:r>
        <w:rPr>
          <w:b/>
          <w:color w:val="17365D"/>
        </w:rPr>
        <w:t>“012…”</w:t>
      </w:r>
    </w:p>
    <w:p w14:paraId="3B04A820" w14:textId="77777777" w:rsidR="00B006CD" w:rsidRDefault="00B006CD" w:rsidP="00B006CD">
      <w:pPr>
        <w:numPr>
          <w:ilvl w:val="0"/>
          <w:numId w:val="8"/>
        </w:numPr>
        <w:jc w:val="both"/>
        <w:rPr>
          <w:rFonts w:cs="Arial"/>
          <w:bCs/>
          <w:color w:val="17365D"/>
        </w:rPr>
      </w:pPr>
      <w:r>
        <w:rPr>
          <w:rFonts w:cs="Arial"/>
          <w:bCs/>
          <w:color w:val="17365D"/>
        </w:rPr>
        <w:t xml:space="preserve">No olvide firmar electrónicamente la solicitud de registro (con la misma clave con la que firmó su convenio) y finalizar la aplicación, ya que de lo contrario no quedará registrada. </w:t>
      </w:r>
    </w:p>
    <w:p w14:paraId="3CB2A526" w14:textId="77777777" w:rsidR="00B006CD" w:rsidRDefault="00B006CD" w:rsidP="00B006CD">
      <w:pPr>
        <w:ind w:left="720"/>
        <w:jc w:val="both"/>
        <w:rPr>
          <w:rFonts w:cs="Arial"/>
          <w:bCs/>
          <w:color w:val="17365D"/>
        </w:rPr>
      </w:pPr>
    </w:p>
    <w:p w14:paraId="2C766E42" w14:textId="77777777" w:rsidR="00B006CD" w:rsidRDefault="00B006CD" w:rsidP="00B006CD">
      <w:pPr>
        <w:pStyle w:val="Prrafodelista"/>
        <w:spacing w:after="0" w:line="240" w:lineRule="auto"/>
        <w:ind w:left="0"/>
        <w:jc w:val="both"/>
        <w:rPr>
          <w:rFonts w:cs="Arial"/>
          <w:bCs/>
          <w:color w:val="17365D"/>
          <w:sz w:val="24"/>
          <w:szCs w:val="24"/>
        </w:rPr>
      </w:pPr>
      <w:r>
        <w:rPr>
          <w:rFonts w:cs="Arial"/>
          <w:bCs/>
          <w:color w:val="17365D"/>
          <w:sz w:val="24"/>
          <w:szCs w:val="24"/>
        </w:rPr>
        <w:t>En cumplimiento a los lineamientos sobre el manejo de información se debe considerar que:</w:t>
      </w:r>
    </w:p>
    <w:p w14:paraId="5670B071" w14:textId="77777777" w:rsidR="00B006CD" w:rsidRDefault="00B006CD" w:rsidP="00B006CD">
      <w:pPr>
        <w:pStyle w:val="Prrafodelista"/>
        <w:spacing w:after="0" w:line="240" w:lineRule="auto"/>
        <w:ind w:left="0"/>
        <w:jc w:val="both"/>
        <w:rPr>
          <w:rFonts w:cs="Arial"/>
          <w:bCs/>
          <w:color w:val="17365D"/>
          <w:sz w:val="24"/>
          <w:szCs w:val="24"/>
        </w:rPr>
      </w:pPr>
    </w:p>
    <w:p w14:paraId="3C2DD06B" w14:textId="77777777" w:rsidR="00B006CD" w:rsidRDefault="00B006CD" w:rsidP="00B006CD">
      <w:pPr>
        <w:numPr>
          <w:ilvl w:val="0"/>
          <w:numId w:val="9"/>
        </w:numPr>
        <w:ind w:left="709"/>
        <w:jc w:val="both"/>
        <w:rPr>
          <w:rFonts w:cs="Arial"/>
          <w:bCs/>
          <w:color w:val="17365D"/>
        </w:rPr>
      </w:pPr>
      <w:r>
        <w:rPr>
          <w:rFonts w:cs="Arial"/>
          <w:bCs/>
          <w:color w:val="17365D"/>
        </w:rPr>
        <w:t xml:space="preserve">Le corresponderá a cada Investigador el registro de la información bancaria en el </w:t>
      </w:r>
      <w:r>
        <w:rPr>
          <w:rFonts w:cs="Arial"/>
          <w:bCs/>
          <w:color w:val="17365D"/>
          <w:u w:val="single"/>
        </w:rPr>
        <w:t>"Currículum Vitae Único (CVU)"</w:t>
      </w:r>
      <w:r>
        <w:rPr>
          <w:rFonts w:cs="Arial"/>
          <w:bCs/>
          <w:color w:val="17365D"/>
        </w:rPr>
        <w:t xml:space="preserve"> mediante su clave personal de acceso. </w:t>
      </w:r>
    </w:p>
    <w:p w14:paraId="44A16BE4" w14:textId="77777777" w:rsidR="00B006CD" w:rsidRDefault="00B006CD" w:rsidP="00B006CD">
      <w:pPr>
        <w:numPr>
          <w:ilvl w:val="0"/>
          <w:numId w:val="9"/>
        </w:numPr>
        <w:ind w:left="709"/>
        <w:jc w:val="both"/>
        <w:rPr>
          <w:rFonts w:cs="Arial"/>
          <w:bCs/>
          <w:color w:val="17365D"/>
        </w:rPr>
      </w:pPr>
      <w:r>
        <w:rPr>
          <w:rFonts w:cs="Arial"/>
          <w:bCs/>
          <w:color w:val="17365D"/>
        </w:rPr>
        <w:t>El resguardo de su clave personal de acceso para garantizar la confidencialidad y seguridad de la información bancaria es responsabilidad de cada Investigador.</w:t>
      </w:r>
    </w:p>
    <w:p w14:paraId="7FB4ED8E" w14:textId="77777777" w:rsidR="00B006CD" w:rsidRDefault="00B006CD" w:rsidP="00B006CD">
      <w:pPr>
        <w:numPr>
          <w:ilvl w:val="0"/>
          <w:numId w:val="9"/>
        </w:numPr>
        <w:ind w:left="709"/>
        <w:jc w:val="both"/>
        <w:rPr>
          <w:rFonts w:cs="Arial"/>
          <w:bCs/>
          <w:color w:val="17365D"/>
        </w:rPr>
      </w:pPr>
      <w:r>
        <w:rPr>
          <w:rFonts w:cs="Arial"/>
          <w:bCs/>
          <w:color w:val="17365D"/>
        </w:rPr>
        <w:t>Para poder acceder al registro de la cuenta bancaria se debe de haber firmado previamente el Convenio con el CONACYT.</w:t>
      </w:r>
    </w:p>
    <w:p w14:paraId="5B0A57B8" w14:textId="77777777" w:rsidR="00B006CD" w:rsidRDefault="00B006CD" w:rsidP="00B006CD">
      <w:pPr>
        <w:numPr>
          <w:ilvl w:val="0"/>
          <w:numId w:val="9"/>
        </w:numPr>
        <w:ind w:left="709"/>
        <w:jc w:val="both"/>
        <w:rPr>
          <w:rFonts w:cs="Arial"/>
          <w:bCs/>
          <w:color w:val="17365D"/>
        </w:rPr>
      </w:pPr>
      <w:r>
        <w:rPr>
          <w:rFonts w:cs="Arial"/>
          <w:bCs/>
          <w:color w:val="17365D"/>
        </w:rPr>
        <w:t>El personal del S.N.I. no está autorizado para recibir ningún documento bancario, no tiene clave de acceso al CVU de los investigadores y no tramita ni tiene injerencia en la apertura de las cuentas bancarias.</w:t>
      </w:r>
    </w:p>
    <w:p w14:paraId="36D426B4" w14:textId="7C1E3796" w:rsidR="00B006CD" w:rsidRDefault="00B006CD" w:rsidP="00B006CD">
      <w:pPr>
        <w:numPr>
          <w:ilvl w:val="0"/>
          <w:numId w:val="9"/>
        </w:numPr>
        <w:ind w:left="709"/>
        <w:jc w:val="both"/>
        <w:rPr>
          <w:rFonts w:cs="Arial"/>
          <w:bCs/>
          <w:color w:val="17365D"/>
        </w:rPr>
      </w:pPr>
      <w:r>
        <w:rPr>
          <w:rFonts w:cs="Arial"/>
          <w:bCs/>
          <w:color w:val="17365D"/>
        </w:rPr>
        <w:t xml:space="preserve">Para el proceso de pago de estímulos del 25 de Enero de 2016 se considerarán las cuentas registradas del </w:t>
      </w:r>
      <w:r w:rsidR="00D62B91">
        <w:rPr>
          <w:rFonts w:cs="Arial"/>
          <w:bCs/>
          <w:color w:val="17365D"/>
        </w:rPr>
        <w:t>11 de diciembre</w:t>
      </w:r>
      <w:bookmarkStart w:id="0" w:name="_GoBack"/>
      <w:bookmarkEnd w:id="0"/>
      <w:r>
        <w:rPr>
          <w:rFonts w:cs="Arial"/>
          <w:bCs/>
          <w:color w:val="17365D"/>
        </w:rPr>
        <w:t xml:space="preserve"> </w:t>
      </w:r>
      <w:proofErr w:type="spellStart"/>
      <w:r>
        <w:rPr>
          <w:rFonts w:cs="Arial"/>
          <w:bCs/>
          <w:color w:val="17365D"/>
        </w:rPr>
        <w:t>de</w:t>
      </w:r>
      <w:proofErr w:type="spellEnd"/>
      <w:r>
        <w:rPr>
          <w:rFonts w:cs="Arial"/>
          <w:bCs/>
          <w:color w:val="17365D"/>
        </w:rPr>
        <w:t xml:space="preserve"> 2015 al </w:t>
      </w:r>
      <w:r>
        <w:rPr>
          <w:rFonts w:cs="Arial"/>
          <w:b/>
          <w:bCs/>
          <w:color w:val="17365D"/>
          <w:u w:val="single"/>
        </w:rPr>
        <w:t>06 de enero de 2016</w:t>
      </w:r>
      <w:r>
        <w:rPr>
          <w:rFonts w:cs="Arial"/>
          <w:bCs/>
          <w:color w:val="17365D"/>
        </w:rPr>
        <w:t>.</w:t>
      </w:r>
    </w:p>
    <w:p w14:paraId="77D3DFD0" w14:textId="77777777" w:rsidR="00B006CD" w:rsidRDefault="00B006CD" w:rsidP="00B006CD">
      <w:pPr>
        <w:jc w:val="both"/>
        <w:rPr>
          <w:rFonts w:cs="Arial"/>
          <w:bCs/>
          <w:color w:val="17365D"/>
        </w:rPr>
      </w:pPr>
    </w:p>
    <w:p w14:paraId="163E31FD" w14:textId="77777777" w:rsidR="00B006CD" w:rsidRDefault="00B006CD" w:rsidP="00B006CD">
      <w:pPr>
        <w:jc w:val="both"/>
        <w:rPr>
          <w:rFonts w:cs="Arial"/>
          <w:bCs/>
          <w:color w:val="17365D"/>
        </w:rPr>
      </w:pPr>
    </w:p>
    <w:p w14:paraId="6B108150" w14:textId="77777777" w:rsidR="00B006CD" w:rsidRDefault="00B006CD" w:rsidP="00B006CD">
      <w:pPr>
        <w:jc w:val="both"/>
        <w:rPr>
          <w:rFonts w:cs="Arial"/>
          <w:bCs/>
          <w:color w:val="17365D"/>
        </w:rPr>
      </w:pPr>
    </w:p>
    <w:p w14:paraId="733DC20F" w14:textId="77777777" w:rsidR="00B006CD" w:rsidRDefault="00B006CD" w:rsidP="00B006CD">
      <w:pPr>
        <w:jc w:val="both"/>
        <w:rPr>
          <w:rFonts w:cs="Arial"/>
          <w:bCs/>
          <w:color w:val="17365D"/>
        </w:rPr>
      </w:pPr>
    </w:p>
    <w:p w14:paraId="234ABE26" w14:textId="77777777" w:rsidR="00B006CD" w:rsidRDefault="00B006CD" w:rsidP="00B006CD">
      <w:pPr>
        <w:jc w:val="both"/>
        <w:rPr>
          <w:rFonts w:cs="Arial"/>
          <w:bCs/>
          <w:color w:val="17365D"/>
        </w:rPr>
      </w:pPr>
    </w:p>
    <w:p w14:paraId="03DDA0B6" w14:textId="77777777" w:rsidR="00B006CD" w:rsidRDefault="00B006CD" w:rsidP="00B006CD">
      <w:pPr>
        <w:numPr>
          <w:ilvl w:val="0"/>
          <w:numId w:val="9"/>
        </w:numPr>
        <w:ind w:left="709"/>
        <w:jc w:val="both"/>
        <w:rPr>
          <w:rFonts w:cs="Arial"/>
          <w:bCs/>
          <w:color w:val="17365D"/>
        </w:rPr>
      </w:pPr>
      <w:r>
        <w:rPr>
          <w:rFonts w:cs="Arial"/>
          <w:bCs/>
          <w:color w:val="17365D"/>
        </w:rPr>
        <w:t xml:space="preserve">En el caso de los </w:t>
      </w:r>
      <w:r>
        <w:rPr>
          <w:rFonts w:cs="Arial"/>
          <w:b/>
          <w:bCs/>
          <w:color w:val="17365D"/>
        </w:rPr>
        <w:t>investigadores de reingreso no vigente</w:t>
      </w:r>
      <w:r>
        <w:rPr>
          <w:rFonts w:cs="Arial"/>
          <w:bCs/>
          <w:color w:val="17365D"/>
        </w:rPr>
        <w:t xml:space="preserve"> que tengan un registro de cuenta bancaria de una vigencia anterior, se les solicita que hagan nuevamente el registro no obstante que se trate de la misma cuenta, ya que debemos solicitar la validación bancaria para integrarla a nuestra base de datos, para cualquier duda contactar al Centro de Soporte Técnico.</w:t>
      </w:r>
    </w:p>
    <w:p w14:paraId="686B0702" w14:textId="77777777" w:rsidR="00B006CD" w:rsidRDefault="00B006CD" w:rsidP="00B006CD">
      <w:pPr>
        <w:numPr>
          <w:ilvl w:val="0"/>
          <w:numId w:val="9"/>
        </w:numPr>
        <w:ind w:left="709"/>
        <w:jc w:val="both"/>
        <w:rPr>
          <w:rFonts w:cs="Arial"/>
          <w:bCs/>
          <w:color w:val="17365D"/>
        </w:rPr>
      </w:pPr>
      <w:r>
        <w:rPr>
          <w:rFonts w:cs="Arial"/>
          <w:bCs/>
          <w:color w:val="17365D"/>
        </w:rPr>
        <w:t xml:space="preserve">Debe tener una cuenta </w:t>
      </w:r>
      <w:r>
        <w:rPr>
          <w:rFonts w:cs="Arial"/>
          <w:b/>
          <w:bCs/>
          <w:color w:val="17365D"/>
        </w:rPr>
        <w:t xml:space="preserve">BBVA-Bancomer </w:t>
      </w:r>
      <w:r>
        <w:rPr>
          <w:rFonts w:cs="Arial"/>
          <w:bCs/>
          <w:color w:val="17365D"/>
        </w:rPr>
        <w:t>vigente a su nombre (donde usted sea el titular principal). Este es el único medio implementado por el CONACYT para el pago de los estímulos económicos.</w:t>
      </w:r>
    </w:p>
    <w:p w14:paraId="6CF8CDF6" w14:textId="4A429827" w:rsidR="00B006CD" w:rsidRDefault="00B006CD" w:rsidP="00B006CD">
      <w:pPr>
        <w:numPr>
          <w:ilvl w:val="0"/>
          <w:numId w:val="9"/>
        </w:numPr>
        <w:ind w:left="709"/>
        <w:jc w:val="both"/>
        <w:rPr>
          <w:rFonts w:cs="Arial"/>
          <w:bCs/>
          <w:color w:val="17365D"/>
        </w:rPr>
      </w:pPr>
      <w:r>
        <w:rPr>
          <w:rFonts w:cs="Arial"/>
          <w:bCs/>
          <w:color w:val="17365D"/>
        </w:rPr>
        <w:t xml:space="preserve">A fin de que el depósito no sea rechazado por el banco, la cuenta no podrá ser de tarjeta de crédito, no deberá estar condicionada o bloqueada para recibir depósitos, no podrá ser una cuenta “EXPRESS” o tener categoría de actividad empresarial. </w:t>
      </w:r>
    </w:p>
    <w:p w14:paraId="20024856" w14:textId="77777777" w:rsidR="00B006CD" w:rsidRDefault="00B006CD" w:rsidP="00B006CD">
      <w:pPr>
        <w:numPr>
          <w:ilvl w:val="0"/>
          <w:numId w:val="9"/>
        </w:numPr>
        <w:ind w:left="709"/>
        <w:jc w:val="both"/>
        <w:rPr>
          <w:rFonts w:cs="Arial"/>
          <w:bCs/>
          <w:color w:val="17365D"/>
        </w:rPr>
      </w:pPr>
      <w:r>
        <w:rPr>
          <w:rFonts w:cs="Arial"/>
          <w:bCs/>
          <w:color w:val="17365D"/>
        </w:rPr>
        <w:t xml:space="preserve">BBVA-Bancomer validará que el nombre registrado en el CVU del CONACYT coincida con el nombre del titular de la cuenta bancaria. </w:t>
      </w:r>
    </w:p>
    <w:p w14:paraId="129DC95C" w14:textId="77777777" w:rsidR="00B006CD" w:rsidRDefault="00B006CD" w:rsidP="00B006CD">
      <w:pPr>
        <w:ind w:left="709"/>
        <w:jc w:val="both"/>
        <w:rPr>
          <w:rFonts w:cs="Arial"/>
          <w:bCs/>
          <w:color w:val="17365D"/>
        </w:rPr>
      </w:pPr>
      <w:r>
        <w:rPr>
          <w:rFonts w:cs="Arial"/>
          <w:bCs/>
          <w:color w:val="17365D"/>
        </w:rPr>
        <w:t xml:space="preserve">La respuesta sobre la validación y el registro de la cuenta bancaria se la hará llegar la aplicación de </w:t>
      </w:r>
      <w:proofErr w:type="spellStart"/>
      <w:r>
        <w:rPr>
          <w:rFonts w:cs="Arial"/>
          <w:bCs/>
          <w:color w:val="17365D"/>
        </w:rPr>
        <w:t>People</w:t>
      </w:r>
      <w:proofErr w:type="spellEnd"/>
      <w:r>
        <w:rPr>
          <w:rFonts w:cs="Arial"/>
          <w:bCs/>
          <w:color w:val="17365D"/>
        </w:rPr>
        <w:t xml:space="preserve"> </w:t>
      </w:r>
      <w:proofErr w:type="spellStart"/>
      <w:r>
        <w:rPr>
          <w:rFonts w:cs="Arial"/>
          <w:bCs/>
          <w:color w:val="17365D"/>
        </w:rPr>
        <w:t>Soft</w:t>
      </w:r>
      <w:proofErr w:type="spellEnd"/>
      <w:r>
        <w:rPr>
          <w:rFonts w:cs="Arial"/>
          <w:bCs/>
          <w:color w:val="17365D"/>
        </w:rPr>
        <w:t xml:space="preserve"> a su correo electrónico a más tardar el 22 de enero de 2016. Antes de esta fecha no es posible proporcionar ningún tipo de información ya que los datos no están disponibles para el personal del S.N.I.</w:t>
      </w:r>
    </w:p>
    <w:p w14:paraId="02FE2D8E" w14:textId="77777777" w:rsidR="008D6860" w:rsidRDefault="008D6860" w:rsidP="00D22402">
      <w:pPr>
        <w:jc w:val="right"/>
        <w:rPr>
          <w:rFonts w:ascii="Adobe Caslon Pro Bold" w:hAnsi="Adobe Caslon Pro Bold"/>
          <w:color w:val="808080" w:themeColor="background1" w:themeShade="80"/>
        </w:rPr>
      </w:pPr>
    </w:p>
    <w:p w14:paraId="6C2644A0" w14:textId="77777777" w:rsidR="008D6860" w:rsidRDefault="008D6860" w:rsidP="00D22402">
      <w:pPr>
        <w:jc w:val="right"/>
        <w:rPr>
          <w:rFonts w:ascii="Adobe Caslon Pro Bold" w:hAnsi="Adobe Caslon Pro Bold"/>
          <w:color w:val="808080" w:themeColor="background1" w:themeShade="80"/>
        </w:rPr>
      </w:pPr>
    </w:p>
    <w:p w14:paraId="13239622" w14:textId="77777777" w:rsidR="008D6860" w:rsidRDefault="008D6860" w:rsidP="00D22402">
      <w:pPr>
        <w:jc w:val="right"/>
        <w:rPr>
          <w:rFonts w:ascii="Adobe Caslon Pro Bold" w:hAnsi="Adobe Caslon Pro Bold"/>
          <w:color w:val="808080" w:themeColor="background1" w:themeShade="80"/>
        </w:rPr>
      </w:pPr>
    </w:p>
    <w:p w14:paraId="57433F09" w14:textId="77777777" w:rsidR="008D6860" w:rsidRDefault="008D6860" w:rsidP="00D22402">
      <w:pPr>
        <w:jc w:val="right"/>
        <w:rPr>
          <w:rFonts w:ascii="Adobe Caslon Pro Bold" w:hAnsi="Adobe Caslon Pro Bold"/>
          <w:color w:val="808080" w:themeColor="background1" w:themeShade="80"/>
        </w:rPr>
      </w:pPr>
    </w:p>
    <w:p w14:paraId="49D62E4F" w14:textId="77777777" w:rsidR="008D6860" w:rsidRPr="00E01B40" w:rsidRDefault="008D6860" w:rsidP="008D6860">
      <w:pPr>
        <w:rPr>
          <w:rFonts w:ascii="Arial" w:hAnsi="Arial" w:cs="Arial"/>
          <w:color w:val="808080" w:themeColor="background1" w:themeShade="80"/>
        </w:rPr>
      </w:pPr>
    </w:p>
    <w:sectPr w:rsidR="008D6860" w:rsidRPr="00E01B40" w:rsidSect="004D0D38">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99F7E" w14:textId="77777777" w:rsidR="00FA7DFC" w:rsidRDefault="00FA7DFC" w:rsidP="00D22402">
      <w:r>
        <w:separator/>
      </w:r>
    </w:p>
  </w:endnote>
  <w:endnote w:type="continuationSeparator" w:id="0">
    <w:p w14:paraId="08E88467" w14:textId="77777777" w:rsidR="00FA7DFC" w:rsidRDefault="00FA7DFC" w:rsidP="00D2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dobe Caslon Pro Bold">
    <w:altName w:val="Georgia"/>
    <w:charset w:val="00"/>
    <w:family w:val="auto"/>
    <w:pitch w:val="variable"/>
    <w:sig w:usb0="00000001" w:usb1="5000205B" w:usb2="00000000" w:usb3="00000000" w:csb0="0000009B" w:csb1="00000000"/>
  </w:font>
  <w:font w:name="Soberana Sans Black">
    <w:altName w:val="Times New Roman"/>
    <w:charset w:val="00"/>
    <w:family w:val="auto"/>
    <w:pitch w:val="variable"/>
    <w:sig w:usb0="00000003" w:usb1="00000000" w:usb2="00000000" w:usb3="00000000" w:csb0="00000001" w:csb1="00000000"/>
  </w:font>
  <w:font w:name="Soberana Sans">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B69E7" w14:textId="77777777" w:rsidR="00851436" w:rsidRDefault="008514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B35F8" w14:textId="77777777" w:rsidR="00851436" w:rsidRDefault="0085143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FC9D1" w14:textId="77777777" w:rsidR="00851436" w:rsidRDefault="008514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D38A5" w14:textId="77777777" w:rsidR="00FA7DFC" w:rsidRDefault="00FA7DFC" w:rsidP="00D22402">
      <w:r>
        <w:separator/>
      </w:r>
    </w:p>
  </w:footnote>
  <w:footnote w:type="continuationSeparator" w:id="0">
    <w:p w14:paraId="2E26D57D" w14:textId="77777777" w:rsidR="00FA7DFC" w:rsidRDefault="00FA7DFC" w:rsidP="00D22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3C42D" w14:textId="77777777" w:rsidR="00851436" w:rsidRDefault="008514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19DC6" w14:textId="3BE89D65" w:rsidR="004D0D38" w:rsidRDefault="00851436" w:rsidP="008E474F">
    <w:pPr>
      <w:pStyle w:val="Encabezado"/>
      <w:tabs>
        <w:tab w:val="clear" w:pos="4252"/>
        <w:tab w:val="clear" w:pos="8504"/>
        <w:tab w:val="left" w:pos="2154"/>
      </w:tabs>
    </w:pPr>
    <w:r>
      <w:rPr>
        <w:noProof/>
        <w:lang w:val="es-MX" w:eastAsia="es-MX"/>
      </w:rPr>
      <w:drawing>
        <wp:anchor distT="0" distB="0" distL="114300" distR="114300" simplePos="0" relativeHeight="251658240" behindDoc="1" locked="0" layoutInCell="1" allowOverlap="1" wp14:anchorId="329E9D14" wp14:editId="780EF1DF">
          <wp:simplePos x="0" y="0"/>
          <wp:positionH relativeFrom="column">
            <wp:posOffset>-1092835</wp:posOffset>
          </wp:positionH>
          <wp:positionV relativeFrom="paragraph">
            <wp:posOffset>-464185</wp:posOffset>
          </wp:positionV>
          <wp:extent cx="7722712"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Cartacorregida.jpg"/>
                  <pic:cNvPicPr/>
                </pic:nvPicPr>
                <pic:blipFill>
                  <a:blip r:embed="rId1">
                    <a:extLst>
                      <a:ext uri="{28A0092B-C50C-407E-A947-70E740481C1C}">
                        <a14:useLocalDpi xmlns:a14="http://schemas.microsoft.com/office/drawing/2010/main" val="0"/>
                      </a:ext>
                    </a:extLst>
                  </a:blip>
                  <a:stretch>
                    <a:fillRect/>
                  </a:stretch>
                </pic:blipFill>
                <pic:spPr>
                  <a:xfrm>
                    <a:off x="0" y="0"/>
                    <a:ext cx="7722712" cy="10058400"/>
                  </a:xfrm>
                  <a:prstGeom prst="rect">
                    <a:avLst/>
                  </a:prstGeom>
                </pic:spPr>
              </pic:pic>
            </a:graphicData>
          </a:graphic>
          <wp14:sizeRelH relativeFrom="page">
            <wp14:pctWidth>0</wp14:pctWidth>
          </wp14:sizeRelH>
          <wp14:sizeRelV relativeFrom="page">
            <wp14:pctHeight>0</wp14:pctHeight>
          </wp14:sizeRelV>
        </wp:anchor>
      </w:drawing>
    </w:r>
    <w:r w:rsidR="008E474F">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5C245" w14:textId="77777777" w:rsidR="00851436" w:rsidRDefault="008514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3FA6"/>
    <w:multiLevelType w:val="hybridMultilevel"/>
    <w:tmpl w:val="F24E3288"/>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E36881"/>
    <w:multiLevelType w:val="hybridMultilevel"/>
    <w:tmpl w:val="773000AE"/>
    <w:lvl w:ilvl="0" w:tplc="65365704">
      <w:start w:val="1"/>
      <w:numFmt w:val="lowerLetter"/>
      <w:lvlText w:val="%1)"/>
      <w:lvlJc w:val="left"/>
      <w:pPr>
        <w:ind w:left="786" w:hanging="360"/>
      </w:pPr>
      <w:rPr>
        <w:rFonts w:ascii="Palatino Linotype" w:hAnsi="Palatino Linotype" w:hint="default"/>
        <w:b/>
        <w:color w:val="365F91" w:themeColor="accent1" w:themeShade="BF"/>
      </w:rPr>
    </w:lvl>
    <w:lvl w:ilvl="1" w:tplc="888858A6">
      <w:start w:val="1"/>
      <w:numFmt w:val="decimal"/>
      <w:lvlText w:val="%2)"/>
      <w:lvlJc w:val="left"/>
      <w:pPr>
        <w:ind w:left="1455" w:hanging="37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3F7D54"/>
    <w:multiLevelType w:val="hybridMultilevel"/>
    <w:tmpl w:val="BFF0CFC6"/>
    <w:lvl w:ilvl="0" w:tplc="65365704">
      <w:start w:val="1"/>
      <w:numFmt w:val="lowerLetter"/>
      <w:lvlText w:val="%1)"/>
      <w:lvlJc w:val="left"/>
      <w:pPr>
        <w:ind w:left="720" w:hanging="360"/>
      </w:pPr>
      <w:rPr>
        <w:rFonts w:ascii="Palatino Linotype" w:hAnsi="Palatino Linotype" w:hint="default"/>
        <w:b/>
        <w:color w:val="365F91" w:themeColor="accent1" w:themeShade="BF"/>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45C1B89"/>
    <w:multiLevelType w:val="multilevel"/>
    <w:tmpl w:val="A7C49458"/>
    <w:lvl w:ilvl="0">
      <w:start w:val="1"/>
      <w:numFmt w:val="decimal"/>
      <w:lvlText w:val="%1"/>
      <w:lvlJc w:val="left"/>
      <w:pPr>
        <w:ind w:left="360" w:hanging="360"/>
      </w:pPr>
      <w:rPr>
        <w:rFonts w:hint="default"/>
        <w:b/>
        <w:color w:val="365F91" w:themeColor="accent1" w:themeShade="BF"/>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B2F45C2"/>
    <w:multiLevelType w:val="hybridMultilevel"/>
    <w:tmpl w:val="9E2C8E0A"/>
    <w:lvl w:ilvl="0" w:tplc="029ED9F8">
      <w:start w:val="6"/>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7763534"/>
    <w:multiLevelType w:val="multilevel"/>
    <w:tmpl w:val="A7C494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552360B9"/>
    <w:multiLevelType w:val="multilevel"/>
    <w:tmpl w:val="080A001D"/>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2A46BC3"/>
    <w:multiLevelType w:val="hybridMultilevel"/>
    <w:tmpl w:val="E856E3AE"/>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78F1BB3"/>
    <w:multiLevelType w:val="hybridMultilevel"/>
    <w:tmpl w:val="D6F2A0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0C173A6"/>
    <w:multiLevelType w:val="multilevel"/>
    <w:tmpl w:val="D614559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3"/>
  </w:num>
  <w:num w:numId="4">
    <w:abstractNumId w:val="0"/>
  </w:num>
  <w:num w:numId="5">
    <w:abstractNumId w:val="8"/>
  </w:num>
  <w:num w:numId="6">
    <w:abstractNumId w:val="2"/>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402"/>
    <w:rsid w:val="00012F4D"/>
    <w:rsid w:val="001D15B2"/>
    <w:rsid w:val="00287550"/>
    <w:rsid w:val="002F3271"/>
    <w:rsid w:val="004A4048"/>
    <w:rsid w:val="004D0D38"/>
    <w:rsid w:val="005272DB"/>
    <w:rsid w:val="00752A5F"/>
    <w:rsid w:val="0078353F"/>
    <w:rsid w:val="00851436"/>
    <w:rsid w:val="008D6860"/>
    <w:rsid w:val="008E474F"/>
    <w:rsid w:val="009658CB"/>
    <w:rsid w:val="00A70F67"/>
    <w:rsid w:val="00A83B52"/>
    <w:rsid w:val="00AD1243"/>
    <w:rsid w:val="00B006CD"/>
    <w:rsid w:val="00C16655"/>
    <w:rsid w:val="00C34D04"/>
    <w:rsid w:val="00C93E34"/>
    <w:rsid w:val="00D075B3"/>
    <w:rsid w:val="00D22402"/>
    <w:rsid w:val="00D4602E"/>
    <w:rsid w:val="00D57B92"/>
    <w:rsid w:val="00D62B91"/>
    <w:rsid w:val="00DA0742"/>
    <w:rsid w:val="00E01B40"/>
    <w:rsid w:val="00F87C3E"/>
    <w:rsid w:val="00FA7DF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0C30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402"/>
    <w:pPr>
      <w:tabs>
        <w:tab w:val="center" w:pos="4252"/>
        <w:tab w:val="right" w:pos="8504"/>
      </w:tabs>
    </w:pPr>
  </w:style>
  <w:style w:type="character" w:customStyle="1" w:styleId="EncabezadoCar">
    <w:name w:val="Encabezado Car"/>
    <w:basedOn w:val="Fuentedeprrafopredeter"/>
    <w:link w:val="Encabezado"/>
    <w:uiPriority w:val="99"/>
    <w:rsid w:val="00D22402"/>
  </w:style>
  <w:style w:type="paragraph" w:styleId="Piedepgina">
    <w:name w:val="footer"/>
    <w:basedOn w:val="Normal"/>
    <w:link w:val="PiedepginaCar"/>
    <w:uiPriority w:val="99"/>
    <w:unhideWhenUsed/>
    <w:rsid w:val="00D22402"/>
    <w:pPr>
      <w:tabs>
        <w:tab w:val="center" w:pos="4252"/>
        <w:tab w:val="right" w:pos="8504"/>
      </w:tabs>
    </w:pPr>
  </w:style>
  <w:style w:type="character" w:customStyle="1" w:styleId="PiedepginaCar">
    <w:name w:val="Pie de página Car"/>
    <w:basedOn w:val="Fuentedeprrafopredeter"/>
    <w:link w:val="Piedepgina"/>
    <w:uiPriority w:val="99"/>
    <w:rsid w:val="00D22402"/>
  </w:style>
  <w:style w:type="paragraph" w:styleId="Textodeglobo">
    <w:name w:val="Balloon Text"/>
    <w:basedOn w:val="Normal"/>
    <w:link w:val="TextodegloboCar"/>
    <w:uiPriority w:val="99"/>
    <w:semiHidden/>
    <w:unhideWhenUsed/>
    <w:rsid w:val="00D2240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22402"/>
    <w:rPr>
      <w:rFonts w:ascii="Lucida Grande" w:hAnsi="Lucida Grande"/>
      <w:sz w:val="18"/>
      <w:szCs w:val="18"/>
    </w:rPr>
  </w:style>
  <w:style w:type="paragraph" w:styleId="Prrafodelista">
    <w:name w:val="List Paragraph"/>
    <w:basedOn w:val="Normal"/>
    <w:uiPriority w:val="34"/>
    <w:qFormat/>
    <w:rsid w:val="00012F4D"/>
    <w:pPr>
      <w:spacing w:after="200" w:line="276" w:lineRule="auto"/>
      <w:ind w:left="720"/>
      <w:contextualSpacing/>
    </w:pPr>
    <w:rPr>
      <w:rFonts w:eastAsiaTheme="minorHAnsi"/>
      <w:sz w:val="22"/>
      <w:szCs w:val="22"/>
      <w:lang w:val="es-MX" w:eastAsia="en-US"/>
    </w:rPr>
  </w:style>
  <w:style w:type="paragraph" w:styleId="Sinespaciado">
    <w:name w:val="No Spacing"/>
    <w:uiPriority w:val="1"/>
    <w:qFormat/>
    <w:rsid w:val="00C16655"/>
    <w:rPr>
      <w:rFonts w:eastAsiaTheme="minorHAnsi"/>
      <w:sz w:val="22"/>
      <w:szCs w:val="22"/>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402"/>
    <w:pPr>
      <w:tabs>
        <w:tab w:val="center" w:pos="4252"/>
        <w:tab w:val="right" w:pos="8504"/>
      </w:tabs>
    </w:pPr>
  </w:style>
  <w:style w:type="character" w:customStyle="1" w:styleId="EncabezadoCar">
    <w:name w:val="Encabezado Car"/>
    <w:basedOn w:val="Fuentedeprrafopredeter"/>
    <w:link w:val="Encabezado"/>
    <w:uiPriority w:val="99"/>
    <w:rsid w:val="00D22402"/>
  </w:style>
  <w:style w:type="paragraph" w:styleId="Piedepgina">
    <w:name w:val="footer"/>
    <w:basedOn w:val="Normal"/>
    <w:link w:val="PiedepginaCar"/>
    <w:uiPriority w:val="99"/>
    <w:unhideWhenUsed/>
    <w:rsid w:val="00D22402"/>
    <w:pPr>
      <w:tabs>
        <w:tab w:val="center" w:pos="4252"/>
        <w:tab w:val="right" w:pos="8504"/>
      </w:tabs>
    </w:pPr>
  </w:style>
  <w:style w:type="character" w:customStyle="1" w:styleId="PiedepginaCar">
    <w:name w:val="Pie de página Car"/>
    <w:basedOn w:val="Fuentedeprrafopredeter"/>
    <w:link w:val="Piedepgina"/>
    <w:uiPriority w:val="99"/>
    <w:rsid w:val="00D22402"/>
  </w:style>
  <w:style w:type="paragraph" w:styleId="Textodeglobo">
    <w:name w:val="Balloon Text"/>
    <w:basedOn w:val="Normal"/>
    <w:link w:val="TextodegloboCar"/>
    <w:uiPriority w:val="99"/>
    <w:semiHidden/>
    <w:unhideWhenUsed/>
    <w:rsid w:val="00D2240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22402"/>
    <w:rPr>
      <w:rFonts w:ascii="Lucida Grande" w:hAnsi="Lucida Grande"/>
      <w:sz w:val="18"/>
      <w:szCs w:val="18"/>
    </w:rPr>
  </w:style>
  <w:style w:type="paragraph" w:styleId="Prrafodelista">
    <w:name w:val="List Paragraph"/>
    <w:basedOn w:val="Normal"/>
    <w:uiPriority w:val="34"/>
    <w:qFormat/>
    <w:rsid w:val="00012F4D"/>
    <w:pPr>
      <w:spacing w:after="200" w:line="276" w:lineRule="auto"/>
      <w:ind w:left="720"/>
      <w:contextualSpacing/>
    </w:pPr>
    <w:rPr>
      <w:rFonts w:eastAsiaTheme="minorHAnsi"/>
      <w:sz w:val="22"/>
      <w:szCs w:val="22"/>
      <w:lang w:val="es-MX" w:eastAsia="en-US"/>
    </w:rPr>
  </w:style>
  <w:style w:type="paragraph" w:styleId="Sinespaciado">
    <w:name w:val="No Spacing"/>
    <w:uiPriority w:val="1"/>
    <w:qFormat/>
    <w:rsid w:val="00C16655"/>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cc3f603-284b-4333-a315-fee5013cdd4b">H6ZYT34SJH3R-170-11</_dlc_DocId>
    <_dlc_DocIdUrl xmlns="1cc3f603-284b-4333-a315-fee5013cdd4b">
      <Url>http://comunidadconacyt/CPCIE/DDDCyT/_layouts/DocIdRedir.aspx?ID=H6ZYT34SJH3R-170-11</Url>
      <Description>H6ZYT34SJH3R-170-11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337D1BAC4C98E448710BE787AFA9316" ma:contentTypeVersion="6" ma:contentTypeDescription="Crear nuevo documento." ma:contentTypeScope="" ma:versionID="48392abbee7bf5270675da2aaaa79bd1">
  <xsd:schema xmlns:xsd="http://www.w3.org/2001/XMLSchema" xmlns:xs="http://www.w3.org/2001/XMLSchema" xmlns:p="http://schemas.microsoft.com/office/2006/metadata/properties" xmlns:ns2="1cc3f603-284b-4333-a315-fee5013cdd4b" targetNamespace="http://schemas.microsoft.com/office/2006/metadata/properties" ma:root="true" ma:fieldsID="8be41209ca4c7a57afc686fd3ff4140e" ns2:_="">
    <xsd:import namespace="1cc3f603-284b-4333-a315-fee5013cdd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3f603-284b-4333-a315-fee5013cdd4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145A30-C5B6-4A67-B97A-DF77A1456151}">
  <ds:schemaRefs>
    <ds:schemaRef ds:uri="http://schemas.microsoft.com/sharepoint/events"/>
  </ds:schemaRefs>
</ds:datastoreItem>
</file>

<file path=customXml/itemProps2.xml><?xml version="1.0" encoding="utf-8"?>
<ds:datastoreItem xmlns:ds="http://schemas.openxmlformats.org/officeDocument/2006/customXml" ds:itemID="{F752DA6C-BF4C-4653-B90F-8ED189960DFA}">
  <ds:schemaRefs>
    <ds:schemaRef ds:uri="http://schemas.microsoft.com/sharepoint/v3/contenttype/forms"/>
  </ds:schemaRefs>
</ds:datastoreItem>
</file>

<file path=customXml/itemProps3.xml><?xml version="1.0" encoding="utf-8"?>
<ds:datastoreItem xmlns:ds="http://schemas.openxmlformats.org/officeDocument/2006/customXml" ds:itemID="{89CED0A8-C850-403C-8876-93B95CF03B3B}">
  <ds:schemaRefs>
    <ds:schemaRef ds:uri="http://schemas.microsoft.com/office/2006/documentManagement/types"/>
    <ds:schemaRef ds:uri="http://www.w3.org/XML/1998/namespace"/>
    <ds:schemaRef ds:uri="1cc3f603-284b-4333-a315-fee5013cdd4b"/>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9116CAE-4415-45F8-BD63-0D073BDE7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3f603-284b-4333-a315-fee5013cd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513</Words>
  <Characters>2822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SEMARNAT</Company>
  <LinksUpToDate>false</LinksUpToDate>
  <CharactersWithSpaces>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Katya Morales Navarrete</dc:creator>
  <cp:lastModifiedBy>Jorge Ramírez Juárez</cp:lastModifiedBy>
  <cp:revision>2</cp:revision>
  <cp:lastPrinted>2012-12-14T18:23:00Z</cp:lastPrinted>
  <dcterms:created xsi:type="dcterms:W3CDTF">2015-12-10T19:14:00Z</dcterms:created>
  <dcterms:modified xsi:type="dcterms:W3CDTF">2015-12-10T19:14:00Z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51f825b9-6568-4221-af76-e9eb6c3b0429</vt:lpwstr>
  </property>
  <property fmtid="{D5CDD505-2E9C-101B-9397-08002B2CF9AE}" pid="3" name="ContentTypeId">
    <vt:lpwstr>0x010100D337D1BAC4C98E448710BE787AFA9316</vt:lpwstr>
  </property>
</Properties>
</file>