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E7635" w14:textId="77777777" w:rsidR="009E345B" w:rsidRDefault="00CC14FA" w:rsidP="009E345B">
      <w:pPr>
        <w:pStyle w:val="paragraph"/>
        <w:spacing w:before="0" w:beforeAutospacing="0" w:after="0" w:afterAutospacing="0" w:line="360" w:lineRule="auto"/>
        <w:jc w:val="center"/>
        <w:textAlignment w:val="baseline"/>
        <w:rPr>
          <w:rFonts w:ascii="Arial" w:hAnsi="Arial"/>
          <w:sz w:val="22"/>
          <w:szCs w:val="22"/>
        </w:rPr>
      </w:pPr>
      <w:r>
        <w:rPr>
          <w:rFonts w:ascii="Arial" w:hAnsi="Arial"/>
          <w:sz w:val="22"/>
          <w:szCs w:val="22"/>
        </w:rPr>
        <w:t xml:space="preserve"> </w:t>
      </w:r>
    </w:p>
    <w:p w14:paraId="48A80225" w14:textId="77777777" w:rsidR="009E345B" w:rsidRDefault="009E345B" w:rsidP="009E345B">
      <w:pPr>
        <w:pStyle w:val="paragraph"/>
        <w:spacing w:before="0" w:beforeAutospacing="0" w:after="0" w:afterAutospacing="0" w:line="360" w:lineRule="auto"/>
        <w:jc w:val="center"/>
        <w:textAlignment w:val="baseline"/>
        <w:rPr>
          <w:rFonts w:ascii="Arial" w:hAnsi="Arial"/>
          <w:sz w:val="22"/>
          <w:szCs w:val="22"/>
        </w:rPr>
      </w:pPr>
    </w:p>
    <w:p w14:paraId="3CA6DBAB" w14:textId="57459F15" w:rsidR="009E345B" w:rsidRDefault="009E345B" w:rsidP="009E345B">
      <w:pPr>
        <w:pStyle w:val="paragraph"/>
        <w:spacing w:before="0" w:beforeAutospacing="0" w:after="0" w:afterAutospacing="0" w:line="360" w:lineRule="auto"/>
        <w:jc w:val="center"/>
        <w:textAlignment w:val="baseline"/>
        <w:rPr>
          <w:rFonts w:ascii="Arial" w:hAnsi="Arial"/>
          <w:sz w:val="22"/>
          <w:szCs w:val="22"/>
        </w:rPr>
      </w:pPr>
    </w:p>
    <w:p w14:paraId="24F4D2BB" w14:textId="77777777" w:rsidR="009E345B" w:rsidRDefault="009E345B" w:rsidP="009E345B">
      <w:pPr>
        <w:pStyle w:val="paragraph"/>
        <w:spacing w:before="0" w:beforeAutospacing="0" w:after="0" w:afterAutospacing="0" w:line="360" w:lineRule="auto"/>
        <w:jc w:val="center"/>
        <w:textAlignment w:val="baseline"/>
        <w:rPr>
          <w:rFonts w:ascii="Arial" w:hAnsi="Arial"/>
          <w:sz w:val="22"/>
          <w:szCs w:val="22"/>
        </w:rPr>
      </w:pPr>
    </w:p>
    <w:p w14:paraId="61821AA9" w14:textId="77777777" w:rsidR="009E345B" w:rsidRDefault="009E345B" w:rsidP="009E345B">
      <w:pPr>
        <w:pStyle w:val="paragraph"/>
        <w:spacing w:before="0" w:beforeAutospacing="0" w:after="0" w:afterAutospacing="0" w:line="360" w:lineRule="auto"/>
        <w:jc w:val="center"/>
        <w:textAlignment w:val="baseline"/>
        <w:rPr>
          <w:rFonts w:ascii="Arial" w:hAnsi="Arial"/>
          <w:sz w:val="22"/>
          <w:szCs w:val="22"/>
        </w:rPr>
      </w:pPr>
    </w:p>
    <w:p w14:paraId="37474511" w14:textId="684606DC" w:rsidR="009E345B" w:rsidRPr="000C3EAC" w:rsidRDefault="009E345B" w:rsidP="009E345B">
      <w:pPr>
        <w:pStyle w:val="paragraph"/>
        <w:spacing w:before="0" w:beforeAutospacing="0" w:after="0" w:afterAutospacing="0" w:line="360" w:lineRule="auto"/>
        <w:jc w:val="center"/>
        <w:textAlignment w:val="baseline"/>
        <w:rPr>
          <w:sz w:val="12"/>
          <w:szCs w:val="12"/>
        </w:rPr>
      </w:pPr>
      <w:r w:rsidRPr="000C3EAC">
        <w:rPr>
          <w:rStyle w:val="normaltextrun"/>
          <w:sz w:val="60"/>
          <w:szCs w:val="60"/>
        </w:rPr>
        <w:t>[Documento Descriptivo del Diseño del Programa de Fortalecimiento a Nivel Sectorial de las Capacidades Científicas, Tecnológicas y de Innovación (S192)”]</w:t>
      </w:r>
      <w:r w:rsidRPr="000C3EAC">
        <w:rPr>
          <w:rStyle w:val="eop"/>
          <w:sz w:val="60"/>
          <w:szCs w:val="60"/>
        </w:rPr>
        <w:t> </w:t>
      </w:r>
    </w:p>
    <w:p w14:paraId="4431651B" w14:textId="77777777" w:rsidR="009E345B" w:rsidRPr="000C3EAC" w:rsidRDefault="009E345B" w:rsidP="009E345B">
      <w:pPr>
        <w:pStyle w:val="paragraph"/>
        <w:spacing w:before="0" w:beforeAutospacing="0" w:after="0" w:afterAutospacing="0" w:line="360" w:lineRule="auto"/>
        <w:jc w:val="center"/>
        <w:textAlignment w:val="baseline"/>
        <w:rPr>
          <w:rStyle w:val="normaltextrun"/>
          <w:sz w:val="26"/>
          <w:szCs w:val="26"/>
        </w:rPr>
      </w:pPr>
    </w:p>
    <w:p w14:paraId="3600A509" w14:textId="77777777" w:rsidR="009E345B" w:rsidRPr="000C3EAC" w:rsidRDefault="009E345B" w:rsidP="009E345B">
      <w:pPr>
        <w:pStyle w:val="paragraph"/>
        <w:spacing w:before="0" w:beforeAutospacing="0" w:after="0" w:afterAutospacing="0" w:line="360" w:lineRule="auto"/>
        <w:jc w:val="center"/>
        <w:textAlignment w:val="baseline"/>
        <w:rPr>
          <w:rStyle w:val="eop"/>
          <w:sz w:val="26"/>
          <w:szCs w:val="26"/>
        </w:rPr>
      </w:pPr>
      <w:r w:rsidRPr="000C3EAC">
        <w:rPr>
          <w:rStyle w:val="normaltextrun"/>
          <w:sz w:val="26"/>
          <w:szCs w:val="26"/>
        </w:rPr>
        <w:t>[DIRECCIÓN ADJUNTA DE DESARROLLO CIENTIFICO, DIRECCIÓN ADJUNTA DE TECNOLOGICO E INNOVACIÓN, DIRECCIÓN DE COOPERACION INTERNACIONAL, DIRECCIÓN ADJUNTA DE PLANEACIÓN Y EVALUACIÓN]</w:t>
      </w:r>
      <w:r w:rsidRPr="000C3EAC">
        <w:rPr>
          <w:rStyle w:val="eop"/>
          <w:sz w:val="26"/>
          <w:szCs w:val="26"/>
        </w:rPr>
        <w:t> </w:t>
      </w:r>
    </w:p>
    <w:p w14:paraId="51C81725" w14:textId="77777777" w:rsidR="009E345B" w:rsidRPr="000C3EAC" w:rsidRDefault="009E345B" w:rsidP="009E345B">
      <w:pPr>
        <w:pStyle w:val="paragraph"/>
        <w:spacing w:before="0" w:beforeAutospacing="0" w:after="0" w:afterAutospacing="0" w:line="360" w:lineRule="auto"/>
        <w:jc w:val="center"/>
        <w:textAlignment w:val="baseline"/>
        <w:rPr>
          <w:sz w:val="12"/>
          <w:szCs w:val="12"/>
        </w:rPr>
      </w:pPr>
    </w:p>
    <w:p w14:paraId="042CCE39" w14:textId="0C29F601" w:rsidR="009E345B" w:rsidRPr="000C3EAC" w:rsidRDefault="009E345B" w:rsidP="009E345B">
      <w:pPr>
        <w:pStyle w:val="paragraph"/>
        <w:spacing w:before="0" w:beforeAutospacing="0" w:after="0" w:afterAutospacing="0" w:line="360" w:lineRule="auto"/>
        <w:jc w:val="center"/>
        <w:textAlignment w:val="baseline"/>
        <w:rPr>
          <w:sz w:val="12"/>
          <w:szCs w:val="12"/>
          <w:lang w:val="en-GB"/>
        </w:rPr>
      </w:pPr>
      <w:r w:rsidRPr="000C3EAC">
        <w:rPr>
          <w:rStyle w:val="normaltextrun"/>
          <w:sz w:val="22"/>
          <w:szCs w:val="22"/>
        </w:rPr>
        <w:t xml:space="preserve"> </w:t>
      </w:r>
      <w:r w:rsidRPr="000C3EAC">
        <w:rPr>
          <w:rStyle w:val="normaltextrun"/>
          <w:sz w:val="22"/>
          <w:szCs w:val="22"/>
          <w:lang w:val="en-GB"/>
        </w:rPr>
        <w:t>[</w:t>
      </w:r>
      <w:proofErr w:type="spellStart"/>
      <w:r>
        <w:rPr>
          <w:rStyle w:val="normaltextrun"/>
          <w:sz w:val="22"/>
          <w:szCs w:val="22"/>
          <w:lang w:val="en-GB"/>
        </w:rPr>
        <w:t>Marzo</w:t>
      </w:r>
      <w:proofErr w:type="spellEnd"/>
      <w:r>
        <w:rPr>
          <w:rStyle w:val="normaltextrun"/>
          <w:sz w:val="22"/>
          <w:szCs w:val="22"/>
          <w:lang w:val="en-GB"/>
        </w:rPr>
        <w:t xml:space="preserve"> 2020</w:t>
      </w:r>
      <w:r w:rsidRPr="000C3EAC">
        <w:rPr>
          <w:rStyle w:val="normaltextrun"/>
          <w:sz w:val="22"/>
          <w:szCs w:val="22"/>
          <w:lang w:val="en-GB"/>
        </w:rPr>
        <w:t>]</w:t>
      </w:r>
      <w:r w:rsidRPr="000C3EAC">
        <w:rPr>
          <w:rStyle w:val="eop"/>
          <w:sz w:val="22"/>
          <w:szCs w:val="22"/>
          <w:lang w:val="en-GB"/>
        </w:rPr>
        <w:t> </w:t>
      </w:r>
    </w:p>
    <w:p w14:paraId="0C851BBD" w14:textId="2644C6C8" w:rsidR="00CC14FA" w:rsidRDefault="00CC14FA" w:rsidP="00D555C3">
      <w:pPr>
        <w:jc w:val="both"/>
        <w:rPr>
          <w:rFonts w:ascii="Arial" w:hAnsi="Arial"/>
          <w:sz w:val="22"/>
          <w:szCs w:val="22"/>
        </w:rPr>
      </w:pPr>
    </w:p>
    <w:p w14:paraId="378ABEFF" w14:textId="60CE1C65" w:rsidR="007C2077" w:rsidRDefault="007C2077" w:rsidP="00D555C3">
      <w:pPr>
        <w:jc w:val="both"/>
        <w:rPr>
          <w:rFonts w:ascii="Arial" w:hAnsi="Arial"/>
          <w:sz w:val="22"/>
          <w:szCs w:val="22"/>
        </w:rPr>
      </w:pPr>
    </w:p>
    <w:p w14:paraId="5E242DC6" w14:textId="2CFCF207" w:rsidR="007C2077" w:rsidRDefault="007C2077" w:rsidP="00D555C3">
      <w:pPr>
        <w:jc w:val="both"/>
        <w:rPr>
          <w:rFonts w:ascii="Arial" w:hAnsi="Arial"/>
          <w:sz w:val="22"/>
          <w:szCs w:val="22"/>
        </w:rPr>
      </w:pPr>
    </w:p>
    <w:p w14:paraId="7EDDBBFF" w14:textId="1B823474" w:rsidR="007C2077" w:rsidRDefault="007C2077" w:rsidP="00D555C3">
      <w:pPr>
        <w:jc w:val="both"/>
        <w:rPr>
          <w:rFonts w:ascii="Arial" w:hAnsi="Arial"/>
          <w:sz w:val="22"/>
          <w:szCs w:val="22"/>
        </w:rPr>
      </w:pPr>
    </w:p>
    <w:p w14:paraId="6D2301B5" w14:textId="7305661A" w:rsidR="007C2077" w:rsidRDefault="007C2077" w:rsidP="00D555C3">
      <w:pPr>
        <w:jc w:val="both"/>
        <w:rPr>
          <w:rFonts w:ascii="Arial" w:hAnsi="Arial"/>
          <w:sz w:val="22"/>
          <w:szCs w:val="22"/>
        </w:rPr>
      </w:pPr>
    </w:p>
    <w:p w14:paraId="312ADC45" w14:textId="54512166" w:rsidR="007C2077" w:rsidRDefault="007C2077" w:rsidP="00D555C3">
      <w:pPr>
        <w:jc w:val="both"/>
        <w:rPr>
          <w:rFonts w:ascii="Arial" w:hAnsi="Arial"/>
          <w:sz w:val="22"/>
          <w:szCs w:val="22"/>
        </w:rPr>
      </w:pPr>
    </w:p>
    <w:p w14:paraId="477B3A32" w14:textId="5D745878" w:rsidR="007C2077" w:rsidRDefault="007C2077" w:rsidP="00D555C3">
      <w:pPr>
        <w:jc w:val="both"/>
        <w:rPr>
          <w:rFonts w:ascii="Arial" w:hAnsi="Arial"/>
          <w:sz w:val="22"/>
          <w:szCs w:val="22"/>
        </w:rPr>
      </w:pPr>
    </w:p>
    <w:p w14:paraId="5372D84C" w14:textId="77E0BA3E" w:rsidR="007C2077" w:rsidRDefault="007C2077" w:rsidP="00D555C3">
      <w:pPr>
        <w:jc w:val="both"/>
        <w:rPr>
          <w:rFonts w:ascii="Arial" w:hAnsi="Arial"/>
          <w:sz w:val="22"/>
          <w:szCs w:val="22"/>
        </w:rPr>
      </w:pPr>
    </w:p>
    <w:p w14:paraId="0355C62D" w14:textId="741D7732" w:rsidR="007C2077" w:rsidRDefault="007C2077" w:rsidP="00D555C3">
      <w:pPr>
        <w:jc w:val="both"/>
        <w:rPr>
          <w:rFonts w:ascii="Arial" w:hAnsi="Arial"/>
          <w:sz w:val="22"/>
          <w:szCs w:val="22"/>
        </w:rPr>
      </w:pPr>
    </w:p>
    <w:p w14:paraId="2972BB17" w14:textId="318039FF" w:rsidR="008922A3" w:rsidRDefault="008922A3" w:rsidP="00D555C3">
      <w:pPr>
        <w:jc w:val="both"/>
        <w:rPr>
          <w:rFonts w:ascii="Arial" w:hAnsi="Arial"/>
          <w:sz w:val="22"/>
          <w:szCs w:val="22"/>
        </w:rPr>
      </w:pPr>
    </w:p>
    <w:p w14:paraId="1F3DC0E8" w14:textId="1F1E52E2" w:rsidR="008922A3" w:rsidRDefault="008922A3" w:rsidP="00D555C3">
      <w:pPr>
        <w:jc w:val="both"/>
        <w:rPr>
          <w:rFonts w:ascii="Arial" w:hAnsi="Arial"/>
          <w:sz w:val="22"/>
          <w:szCs w:val="22"/>
        </w:rPr>
      </w:pPr>
    </w:p>
    <w:bookmarkStart w:id="0" w:name="_Toc447611663" w:displacedByCustomXml="next"/>
    <w:sdt>
      <w:sdtPr>
        <w:rPr>
          <w:rFonts w:asciiTheme="minorHAnsi" w:eastAsiaTheme="minorEastAsia" w:hAnsiTheme="minorHAnsi" w:cstheme="minorBidi"/>
          <w:color w:val="auto"/>
          <w:sz w:val="24"/>
          <w:szCs w:val="24"/>
          <w:lang w:val="es-ES" w:eastAsia="es-ES"/>
        </w:rPr>
        <w:id w:val="921760385"/>
        <w:docPartObj>
          <w:docPartGallery w:val="Table of Contents"/>
          <w:docPartUnique/>
        </w:docPartObj>
      </w:sdtPr>
      <w:sdtEndPr>
        <w:rPr>
          <w:b/>
          <w:bCs/>
        </w:rPr>
      </w:sdtEndPr>
      <w:sdtContent>
        <w:p w14:paraId="2A7A0B39" w14:textId="6B32EB44" w:rsidR="002336F8" w:rsidRDefault="002336F8">
          <w:pPr>
            <w:pStyle w:val="TtuloTDC"/>
          </w:pPr>
          <w:r>
            <w:rPr>
              <w:lang w:val="es-ES"/>
            </w:rPr>
            <w:t>Contenido</w:t>
          </w:r>
        </w:p>
        <w:p w14:paraId="6D283837" w14:textId="1F605E8F" w:rsidR="008A47EB" w:rsidRDefault="002336F8" w:rsidP="008A47EB">
          <w:pPr>
            <w:pStyle w:val="TDC1"/>
            <w:rPr>
              <w:sz w:val="22"/>
              <w:szCs w:val="22"/>
              <w:lang w:val="es-MX" w:eastAsia="es-MX"/>
            </w:rPr>
          </w:pPr>
          <w:r>
            <w:fldChar w:fldCharType="begin"/>
          </w:r>
          <w:r>
            <w:instrText xml:space="preserve"> TOC \o "1-3" \h \z \u </w:instrText>
          </w:r>
          <w:r>
            <w:fldChar w:fldCharType="separate"/>
          </w:r>
          <w:hyperlink w:anchor="_Toc32920314" w:history="1">
            <w:r w:rsidR="008A47EB" w:rsidRPr="008A47EB">
              <w:rPr>
                <w:rStyle w:val="Hipervnculo"/>
                <w:color w:val="auto"/>
              </w:rPr>
              <w:t>I.</w:t>
            </w:r>
            <w:r w:rsidR="008A47EB">
              <w:rPr>
                <w:sz w:val="22"/>
                <w:szCs w:val="22"/>
                <w:lang w:val="es-MX" w:eastAsia="es-MX"/>
              </w:rPr>
              <w:tab/>
            </w:r>
            <w:r w:rsidR="008A47EB" w:rsidRPr="00F55EEB">
              <w:rPr>
                <w:rStyle w:val="Hipervnculo"/>
              </w:rPr>
              <w:t>Antecedentes</w:t>
            </w:r>
            <w:r w:rsidR="008A47EB">
              <w:rPr>
                <w:webHidden/>
              </w:rPr>
              <w:tab/>
            </w:r>
            <w:r w:rsidR="008A47EB">
              <w:rPr>
                <w:webHidden/>
              </w:rPr>
              <w:fldChar w:fldCharType="begin"/>
            </w:r>
            <w:r w:rsidR="008A47EB">
              <w:rPr>
                <w:webHidden/>
              </w:rPr>
              <w:instrText xml:space="preserve"> PAGEREF _Toc32920314 \h </w:instrText>
            </w:r>
            <w:r w:rsidR="008A47EB">
              <w:rPr>
                <w:webHidden/>
              </w:rPr>
            </w:r>
            <w:r w:rsidR="008A47EB">
              <w:rPr>
                <w:webHidden/>
              </w:rPr>
              <w:fldChar w:fldCharType="separate"/>
            </w:r>
            <w:r w:rsidR="008A47EB">
              <w:rPr>
                <w:webHidden/>
              </w:rPr>
              <w:t>3</w:t>
            </w:r>
            <w:r w:rsidR="008A47EB">
              <w:rPr>
                <w:webHidden/>
              </w:rPr>
              <w:fldChar w:fldCharType="end"/>
            </w:r>
          </w:hyperlink>
        </w:p>
        <w:p w14:paraId="3B019416" w14:textId="7C3C312B" w:rsidR="008A47EB" w:rsidRPr="008A47EB" w:rsidRDefault="007A1A58" w:rsidP="008A47EB">
          <w:pPr>
            <w:pStyle w:val="TDC1"/>
            <w:rPr>
              <w:sz w:val="22"/>
              <w:szCs w:val="22"/>
              <w:lang w:val="es-MX" w:eastAsia="es-MX"/>
            </w:rPr>
          </w:pPr>
          <w:hyperlink w:anchor="_Toc32920315" w:history="1">
            <w:r w:rsidR="008A47EB" w:rsidRPr="008A47EB">
              <w:rPr>
                <w:rStyle w:val="Hipervnculo"/>
                <w:color w:val="auto"/>
              </w:rPr>
              <w:t>II.</w:t>
            </w:r>
            <w:r w:rsidR="008A47EB" w:rsidRPr="008A47EB">
              <w:rPr>
                <w:sz w:val="22"/>
                <w:szCs w:val="22"/>
                <w:lang w:val="es-MX" w:eastAsia="es-MX"/>
              </w:rPr>
              <w:tab/>
            </w:r>
            <w:r w:rsidR="008A47EB" w:rsidRPr="008A47EB">
              <w:rPr>
                <w:rStyle w:val="Hipervnculo"/>
                <w:color w:val="auto"/>
              </w:rPr>
              <w:t>Identificación y descripción del Problema</w:t>
            </w:r>
            <w:r w:rsidR="008A47EB" w:rsidRPr="008A47EB">
              <w:rPr>
                <w:webHidden/>
              </w:rPr>
              <w:tab/>
            </w:r>
            <w:r w:rsidR="008A47EB" w:rsidRPr="008A47EB">
              <w:rPr>
                <w:webHidden/>
              </w:rPr>
              <w:fldChar w:fldCharType="begin"/>
            </w:r>
            <w:r w:rsidR="008A47EB" w:rsidRPr="008A47EB">
              <w:rPr>
                <w:webHidden/>
              </w:rPr>
              <w:instrText xml:space="preserve"> PAGEREF _Toc32920315 \h </w:instrText>
            </w:r>
            <w:r w:rsidR="008A47EB" w:rsidRPr="008A47EB">
              <w:rPr>
                <w:webHidden/>
              </w:rPr>
            </w:r>
            <w:r w:rsidR="008A47EB" w:rsidRPr="008A47EB">
              <w:rPr>
                <w:webHidden/>
              </w:rPr>
              <w:fldChar w:fldCharType="separate"/>
            </w:r>
            <w:r w:rsidR="008A47EB" w:rsidRPr="008A47EB">
              <w:rPr>
                <w:webHidden/>
              </w:rPr>
              <w:t>6</w:t>
            </w:r>
            <w:r w:rsidR="008A47EB" w:rsidRPr="008A47EB">
              <w:rPr>
                <w:webHidden/>
              </w:rPr>
              <w:fldChar w:fldCharType="end"/>
            </w:r>
          </w:hyperlink>
        </w:p>
        <w:p w14:paraId="469ADE71" w14:textId="15251BAF" w:rsidR="008A47EB" w:rsidRPr="002E2BCF" w:rsidRDefault="007A1A58" w:rsidP="002E2BCF">
          <w:pPr>
            <w:pStyle w:val="TDC2"/>
            <w:rPr>
              <w:sz w:val="22"/>
              <w:szCs w:val="22"/>
              <w:lang w:val="es-MX" w:eastAsia="es-MX"/>
            </w:rPr>
          </w:pPr>
          <w:hyperlink w:anchor="_Toc32920316" w:history="1">
            <w:r w:rsidR="008A47EB" w:rsidRPr="002E2BCF">
              <w:rPr>
                <w:rStyle w:val="Hipervnculo"/>
                <w:rFonts w:eastAsia="Times New Roman"/>
              </w:rPr>
              <w:t>II.1. Identificación y estado actual del problema.</w:t>
            </w:r>
            <w:r w:rsidR="008A47EB" w:rsidRPr="002E2BCF">
              <w:rPr>
                <w:webHidden/>
              </w:rPr>
              <w:tab/>
            </w:r>
            <w:r w:rsidR="008A47EB" w:rsidRPr="002E2BCF">
              <w:rPr>
                <w:webHidden/>
              </w:rPr>
              <w:fldChar w:fldCharType="begin"/>
            </w:r>
            <w:r w:rsidR="008A47EB" w:rsidRPr="002E2BCF">
              <w:rPr>
                <w:webHidden/>
              </w:rPr>
              <w:instrText xml:space="preserve"> PAGEREF _Toc32920316 \h </w:instrText>
            </w:r>
            <w:r w:rsidR="008A47EB" w:rsidRPr="002E2BCF">
              <w:rPr>
                <w:webHidden/>
              </w:rPr>
            </w:r>
            <w:r w:rsidR="008A47EB" w:rsidRPr="002E2BCF">
              <w:rPr>
                <w:webHidden/>
              </w:rPr>
              <w:fldChar w:fldCharType="separate"/>
            </w:r>
            <w:r w:rsidR="008A47EB" w:rsidRPr="002E2BCF">
              <w:rPr>
                <w:webHidden/>
              </w:rPr>
              <w:t>9</w:t>
            </w:r>
            <w:r w:rsidR="008A47EB" w:rsidRPr="002E2BCF">
              <w:rPr>
                <w:webHidden/>
              </w:rPr>
              <w:fldChar w:fldCharType="end"/>
            </w:r>
          </w:hyperlink>
        </w:p>
        <w:p w14:paraId="3E5475B5" w14:textId="2BC31589" w:rsidR="008A47EB" w:rsidRPr="002E2BCF" w:rsidRDefault="007A1A58" w:rsidP="002E2BCF">
          <w:pPr>
            <w:pStyle w:val="TDC2"/>
            <w:rPr>
              <w:sz w:val="22"/>
              <w:szCs w:val="22"/>
              <w:lang w:val="es-MX" w:eastAsia="es-MX"/>
            </w:rPr>
          </w:pPr>
          <w:hyperlink w:anchor="_Toc32920317" w:history="1">
            <w:r w:rsidR="008A47EB" w:rsidRPr="002E2BCF">
              <w:rPr>
                <w:rStyle w:val="Hipervnculo"/>
                <w:rFonts w:eastAsia="Times New Roman"/>
              </w:rPr>
              <w:t>II.2. Evolución del problema</w:t>
            </w:r>
            <w:r w:rsidR="008A47EB" w:rsidRPr="002E2BCF">
              <w:rPr>
                <w:webHidden/>
              </w:rPr>
              <w:tab/>
            </w:r>
            <w:r w:rsidR="008A47EB" w:rsidRPr="002E2BCF">
              <w:rPr>
                <w:webHidden/>
              </w:rPr>
              <w:fldChar w:fldCharType="begin"/>
            </w:r>
            <w:r w:rsidR="008A47EB" w:rsidRPr="002E2BCF">
              <w:rPr>
                <w:webHidden/>
              </w:rPr>
              <w:instrText xml:space="preserve"> PAGEREF _Toc32920317 \h </w:instrText>
            </w:r>
            <w:r w:rsidR="008A47EB" w:rsidRPr="002E2BCF">
              <w:rPr>
                <w:webHidden/>
              </w:rPr>
            </w:r>
            <w:r w:rsidR="008A47EB" w:rsidRPr="002E2BCF">
              <w:rPr>
                <w:webHidden/>
              </w:rPr>
              <w:fldChar w:fldCharType="separate"/>
            </w:r>
            <w:r w:rsidR="008A47EB" w:rsidRPr="002E2BCF">
              <w:rPr>
                <w:webHidden/>
              </w:rPr>
              <w:t>10</w:t>
            </w:r>
            <w:r w:rsidR="008A47EB" w:rsidRPr="002E2BCF">
              <w:rPr>
                <w:webHidden/>
              </w:rPr>
              <w:fldChar w:fldCharType="end"/>
            </w:r>
          </w:hyperlink>
        </w:p>
        <w:p w14:paraId="493486BB" w14:textId="3C759595" w:rsidR="008A47EB" w:rsidRPr="002E2BCF" w:rsidRDefault="007A1A58" w:rsidP="008A47EB">
          <w:pPr>
            <w:pStyle w:val="TDC3"/>
            <w:rPr>
              <w:b w:val="0"/>
              <w:sz w:val="22"/>
              <w:szCs w:val="22"/>
              <w:lang w:val="es-MX" w:eastAsia="es-MX"/>
            </w:rPr>
          </w:pPr>
          <w:hyperlink w:anchor="_Toc32920318" w:history="1">
            <w:r w:rsidR="008A47EB" w:rsidRPr="002E2BCF">
              <w:rPr>
                <w:rStyle w:val="Hipervnculo"/>
                <w:b w:val="0"/>
              </w:rPr>
              <w:t>II.2.1. Recursos humanos calificados para realizar actividades de IDTI</w:t>
            </w:r>
            <w:r w:rsidR="008A47EB" w:rsidRPr="002E2BCF">
              <w:rPr>
                <w:b w:val="0"/>
                <w:webHidden/>
              </w:rPr>
              <w:tab/>
            </w:r>
            <w:r w:rsidR="008A47EB" w:rsidRPr="002E2BCF">
              <w:rPr>
                <w:b w:val="0"/>
                <w:webHidden/>
              </w:rPr>
              <w:fldChar w:fldCharType="begin"/>
            </w:r>
            <w:r w:rsidR="008A47EB" w:rsidRPr="002E2BCF">
              <w:rPr>
                <w:b w:val="0"/>
                <w:webHidden/>
              </w:rPr>
              <w:instrText xml:space="preserve"> PAGEREF _Toc32920318 \h </w:instrText>
            </w:r>
            <w:r w:rsidR="008A47EB" w:rsidRPr="002E2BCF">
              <w:rPr>
                <w:b w:val="0"/>
                <w:webHidden/>
              </w:rPr>
            </w:r>
            <w:r w:rsidR="008A47EB" w:rsidRPr="002E2BCF">
              <w:rPr>
                <w:b w:val="0"/>
                <w:webHidden/>
              </w:rPr>
              <w:fldChar w:fldCharType="separate"/>
            </w:r>
            <w:r w:rsidR="008A47EB" w:rsidRPr="002E2BCF">
              <w:rPr>
                <w:b w:val="0"/>
                <w:webHidden/>
              </w:rPr>
              <w:t>11</w:t>
            </w:r>
            <w:r w:rsidR="008A47EB" w:rsidRPr="002E2BCF">
              <w:rPr>
                <w:b w:val="0"/>
                <w:webHidden/>
              </w:rPr>
              <w:fldChar w:fldCharType="end"/>
            </w:r>
          </w:hyperlink>
        </w:p>
        <w:p w14:paraId="7F2195F0" w14:textId="3D988AAF" w:rsidR="008A47EB" w:rsidRDefault="007A1A58" w:rsidP="008A47EB">
          <w:pPr>
            <w:pStyle w:val="TDC3"/>
            <w:rPr>
              <w:sz w:val="22"/>
              <w:szCs w:val="22"/>
              <w:lang w:val="es-MX" w:eastAsia="es-MX"/>
            </w:rPr>
          </w:pPr>
          <w:hyperlink w:anchor="_Toc32920319" w:history="1">
            <w:r w:rsidR="008A47EB" w:rsidRPr="002E2BCF">
              <w:rPr>
                <w:rStyle w:val="Hipervnculo"/>
                <w:b w:val="0"/>
              </w:rPr>
              <w:t>II.2.2. Infraestructura científica y tecnológica</w:t>
            </w:r>
            <w:r w:rsidR="008A47EB" w:rsidRPr="002E2BCF">
              <w:rPr>
                <w:b w:val="0"/>
                <w:webHidden/>
              </w:rPr>
              <w:tab/>
            </w:r>
            <w:r w:rsidR="008A47EB" w:rsidRPr="002E2BCF">
              <w:rPr>
                <w:b w:val="0"/>
                <w:webHidden/>
              </w:rPr>
              <w:fldChar w:fldCharType="begin"/>
            </w:r>
            <w:r w:rsidR="008A47EB" w:rsidRPr="002E2BCF">
              <w:rPr>
                <w:b w:val="0"/>
                <w:webHidden/>
              </w:rPr>
              <w:instrText xml:space="preserve"> PAGEREF _Toc32920319 \h </w:instrText>
            </w:r>
            <w:r w:rsidR="008A47EB" w:rsidRPr="002E2BCF">
              <w:rPr>
                <w:b w:val="0"/>
                <w:webHidden/>
              </w:rPr>
            </w:r>
            <w:r w:rsidR="008A47EB" w:rsidRPr="002E2BCF">
              <w:rPr>
                <w:b w:val="0"/>
                <w:webHidden/>
              </w:rPr>
              <w:fldChar w:fldCharType="separate"/>
            </w:r>
            <w:r w:rsidR="008A47EB" w:rsidRPr="002E2BCF">
              <w:rPr>
                <w:b w:val="0"/>
                <w:webHidden/>
              </w:rPr>
              <w:t>14</w:t>
            </w:r>
            <w:r w:rsidR="008A47EB" w:rsidRPr="002E2BCF">
              <w:rPr>
                <w:b w:val="0"/>
                <w:webHidden/>
              </w:rPr>
              <w:fldChar w:fldCharType="end"/>
            </w:r>
          </w:hyperlink>
        </w:p>
        <w:p w14:paraId="46820881" w14:textId="6109ACE6" w:rsidR="008A47EB" w:rsidRPr="002E2BCF" w:rsidRDefault="007A1A58" w:rsidP="002E2BCF">
          <w:pPr>
            <w:pStyle w:val="TDC2"/>
            <w:rPr>
              <w:sz w:val="22"/>
              <w:szCs w:val="22"/>
              <w:lang w:val="es-MX" w:eastAsia="es-MX"/>
            </w:rPr>
          </w:pPr>
          <w:hyperlink w:anchor="_Toc32920320" w:history="1">
            <w:r w:rsidR="008A47EB" w:rsidRPr="002E2BCF">
              <w:rPr>
                <w:rStyle w:val="Hipervnculo"/>
                <w:rFonts w:eastAsia="Times New Roman"/>
              </w:rPr>
              <w:t>II.3. Experiencias de atención al problema</w:t>
            </w:r>
            <w:r w:rsidR="008A47EB" w:rsidRPr="002E2BCF">
              <w:rPr>
                <w:webHidden/>
              </w:rPr>
              <w:tab/>
            </w:r>
            <w:r w:rsidR="008A47EB" w:rsidRPr="002E2BCF">
              <w:rPr>
                <w:webHidden/>
              </w:rPr>
              <w:fldChar w:fldCharType="begin"/>
            </w:r>
            <w:r w:rsidR="008A47EB" w:rsidRPr="002E2BCF">
              <w:rPr>
                <w:webHidden/>
              </w:rPr>
              <w:instrText xml:space="preserve"> PAGEREF _Toc32920320 \h </w:instrText>
            </w:r>
            <w:r w:rsidR="008A47EB" w:rsidRPr="002E2BCF">
              <w:rPr>
                <w:webHidden/>
              </w:rPr>
            </w:r>
            <w:r w:rsidR="008A47EB" w:rsidRPr="002E2BCF">
              <w:rPr>
                <w:webHidden/>
              </w:rPr>
              <w:fldChar w:fldCharType="separate"/>
            </w:r>
            <w:r w:rsidR="008A47EB" w:rsidRPr="002E2BCF">
              <w:rPr>
                <w:webHidden/>
              </w:rPr>
              <w:t>18</w:t>
            </w:r>
            <w:r w:rsidR="008A47EB" w:rsidRPr="002E2BCF">
              <w:rPr>
                <w:webHidden/>
              </w:rPr>
              <w:fldChar w:fldCharType="end"/>
            </w:r>
          </w:hyperlink>
        </w:p>
        <w:p w14:paraId="058D217F" w14:textId="000BEB6E" w:rsidR="008A47EB" w:rsidRPr="002E2BCF" w:rsidRDefault="007A1A58" w:rsidP="008A47EB">
          <w:pPr>
            <w:pStyle w:val="TDC3"/>
            <w:rPr>
              <w:b w:val="0"/>
              <w:sz w:val="22"/>
              <w:szCs w:val="22"/>
              <w:lang w:val="es-MX" w:eastAsia="es-MX"/>
            </w:rPr>
          </w:pPr>
          <w:hyperlink w:anchor="_Toc32920321" w:history="1">
            <w:r w:rsidR="008A47EB" w:rsidRPr="002E2BCF">
              <w:rPr>
                <w:rStyle w:val="Hipervnculo"/>
                <w:b w:val="0"/>
                <w:color w:val="auto"/>
              </w:rPr>
              <w:t xml:space="preserve">II.3.1. El caso del </w:t>
            </w:r>
            <w:r w:rsidR="008A47EB" w:rsidRPr="002E2BCF">
              <w:rPr>
                <w:rStyle w:val="Hipervnculo"/>
                <w:b w:val="0"/>
                <w:color w:val="auto"/>
                <w:shd w:val="clear" w:color="auto" w:fill="FFFFFF"/>
              </w:rPr>
              <w:t>Fondo de Fomento al Desarrollo Científico y Tecnológico</w:t>
            </w:r>
            <w:r w:rsidR="008A47EB" w:rsidRPr="002E2BCF">
              <w:rPr>
                <w:rStyle w:val="Hipervnculo"/>
                <w:b w:val="0"/>
                <w:color w:val="auto"/>
              </w:rPr>
              <w:t>.</w:t>
            </w:r>
            <w:r w:rsidR="008A47EB" w:rsidRPr="002E2BCF">
              <w:rPr>
                <w:b w:val="0"/>
                <w:webHidden/>
              </w:rPr>
              <w:tab/>
            </w:r>
            <w:r w:rsidR="008A47EB" w:rsidRPr="002E2BCF">
              <w:rPr>
                <w:b w:val="0"/>
                <w:webHidden/>
              </w:rPr>
              <w:fldChar w:fldCharType="begin"/>
            </w:r>
            <w:r w:rsidR="008A47EB" w:rsidRPr="002E2BCF">
              <w:rPr>
                <w:b w:val="0"/>
                <w:webHidden/>
              </w:rPr>
              <w:instrText xml:space="preserve"> PAGEREF _Toc32920321 \h </w:instrText>
            </w:r>
            <w:r w:rsidR="008A47EB" w:rsidRPr="002E2BCF">
              <w:rPr>
                <w:b w:val="0"/>
                <w:webHidden/>
              </w:rPr>
            </w:r>
            <w:r w:rsidR="008A47EB" w:rsidRPr="002E2BCF">
              <w:rPr>
                <w:b w:val="0"/>
                <w:webHidden/>
              </w:rPr>
              <w:fldChar w:fldCharType="separate"/>
            </w:r>
            <w:r w:rsidR="008A47EB" w:rsidRPr="002E2BCF">
              <w:rPr>
                <w:b w:val="0"/>
                <w:webHidden/>
              </w:rPr>
              <w:t>18</w:t>
            </w:r>
            <w:r w:rsidR="008A47EB" w:rsidRPr="002E2BCF">
              <w:rPr>
                <w:b w:val="0"/>
                <w:webHidden/>
              </w:rPr>
              <w:fldChar w:fldCharType="end"/>
            </w:r>
          </w:hyperlink>
        </w:p>
        <w:p w14:paraId="124AB671" w14:textId="73D89F3F" w:rsidR="008A47EB" w:rsidRPr="002E2BCF" w:rsidRDefault="007A1A58" w:rsidP="002E2BCF">
          <w:pPr>
            <w:pStyle w:val="TDC2"/>
            <w:rPr>
              <w:sz w:val="22"/>
              <w:szCs w:val="22"/>
              <w:lang w:val="es-MX" w:eastAsia="es-MX"/>
            </w:rPr>
          </w:pPr>
          <w:hyperlink w:anchor="_Toc32920322" w:history="1">
            <w:r w:rsidR="008A47EB" w:rsidRPr="002E2BCF">
              <w:rPr>
                <w:rStyle w:val="Hipervnculo"/>
                <w:rFonts w:eastAsia="Times New Roman"/>
              </w:rPr>
              <w:t>II.4. Árbol de problemas</w:t>
            </w:r>
            <w:r w:rsidR="008A47EB" w:rsidRPr="002E2BCF">
              <w:rPr>
                <w:webHidden/>
              </w:rPr>
              <w:tab/>
            </w:r>
            <w:r w:rsidR="008A47EB" w:rsidRPr="002E2BCF">
              <w:rPr>
                <w:webHidden/>
              </w:rPr>
              <w:fldChar w:fldCharType="begin"/>
            </w:r>
            <w:r w:rsidR="008A47EB" w:rsidRPr="002E2BCF">
              <w:rPr>
                <w:webHidden/>
              </w:rPr>
              <w:instrText xml:space="preserve"> PAGEREF _Toc32920322 \h </w:instrText>
            </w:r>
            <w:r w:rsidR="008A47EB" w:rsidRPr="002E2BCF">
              <w:rPr>
                <w:webHidden/>
              </w:rPr>
            </w:r>
            <w:r w:rsidR="008A47EB" w:rsidRPr="002E2BCF">
              <w:rPr>
                <w:webHidden/>
              </w:rPr>
              <w:fldChar w:fldCharType="separate"/>
            </w:r>
            <w:r w:rsidR="008A47EB" w:rsidRPr="002E2BCF">
              <w:rPr>
                <w:webHidden/>
              </w:rPr>
              <w:t>22</w:t>
            </w:r>
            <w:r w:rsidR="008A47EB" w:rsidRPr="002E2BCF">
              <w:rPr>
                <w:webHidden/>
              </w:rPr>
              <w:fldChar w:fldCharType="end"/>
            </w:r>
          </w:hyperlink>
        </w:p>
        <w:p w14:paraId="5745D475" w14:textId="3679E50E" w:rsidR="008A47EB" w:rsidRPr="002E2BCF" w:rsidRDefault="007A1A58" w:rsidP="008A47EB">
          <w:pPr>
            <w:pStyle w:val="TDC3"/>
            <w:rPr>
              <w:b w:val="0"/>
              <w:sz w:val="22"/>
              <w:szCs w:val="22"/>
              <w:lang w:val="es-MX" w:eastAsia="es-MX"/>
            </w:rPr>
          </w:pPr>
          <w:hyperlink w:anchor="_Toc32920323" w:history="1">
            <w:r w:rsidR="008A47EB" w:rsidRPr="002E2BCF">
              <w:rPr>
                <w:rStyle w:val="Hipervnculo"/>
                <w:rFonts w:eastAsia="MS Gothic"/>
                <w:b w:val="0"/>
                <w:iCs/>
              </w:rPr>
              <w:t xml:space="preserve">II.4.1. </w:t>
            </w:r>
            <w:r w:rsidR="008A47EB" w:rsidRPr="002E2BCF">
              <w:rPr>
                <w:rStyle w:val="Hipervnculo"/>
                <w:b w:val="0"/>
                <w:iCs/>
              </w:rPr>
              <w:t>Descripción de las causas del problema</w:t>
            </w:r>
            <w:r w:rsidR="008A47EB" w:rsidRPr="002E2BCF">
              <w:rPr>
                <w:b w:val="0"/>
                <w:webHidden/>
              </w:rPr>
              <w:tab/>
            </w:r>
            <w:r w:rsidR="008A47EB" w:rsidRPr="002E2BCF">
              <w:rPr>
                <w:b w:val="0"/>
                <w:webHidden/>
              </w:rPr>
              <w:fldChar w:fldCharType="begin"/>
            </w:r>
            <w:r w:rsidR="008A47EB" w:rsidRPr="002E2BCF">
              <w:rPr>
                <w:b w:val="0"/>
                <w:webHidden/>
              </w:rPr>
              <w:instrText xml:space="preserve"> PAGEREF _Toc32920323 \h </w:instrText>
            </w:r>
            <w:r w:rsidR="008A47EB" w:rsidRPr="002E2BCF">
              <w:rPr>
                <w:b w:val="0"/>
                <w:webHidden/>
              </w:rPr>
            </w:r>
            <w:r w:rsidR="008A47EB" w:rsidRPr="002E2BCF">
              <w:rPr>
                <w:b w:val="0"/>
                <w:webHidden/>
              </w:rPr>
              <w:fldChar w:fldCharType="separate"/>
            </w:r>
            <w:r w:rsidR="008A47EB" w:rsidRPr="002E2BCF">
              <w:rPr>
                <w:b w:val="0"/>
                <w:webHidden/>
              </w:rPr>
              <w:t>23</w:t>
            </w:r>
            <w:r w:rsidR="008A47EB" w:rsidRPr="002E2BCF">
              <w:rPr>
                <w:b w:val="0"/>
                <w:webHidden/>
              </w:rPr>
              <w:fldChar w:fldCharType="end"/>
            </w:r>
          </w:hyperlink>
        </w:p>
        <w:p w14:paraId="2CF46A51" w14:textId="187136EE" w:rsidR="008A47EB" w:rsidRPr="002E2BCF" w:rsidRDefault="007A1A58" w:rsidP="008A47EB">
          <w:pPr>
            <w:pStyle w:val="TDC3"/>
            <w:rPr>
              <w:b w:val="0"/>
              <w:sz w:val="22"/>
              <w:szCs w:val="22"/>
              <w:lang w:val="es-MX" w:eastAsia="es-MX"/>
            </w:rPr>
          </w:pPr>
          <w:hyperlink w:anchor="_Toc32920324" w:history="1">
            <w:r w:rsidR="008A47EB" w:rsidRPr="002E2BCF">
              <w:rPr>
                <w:rStyle w:val="Hipervnculo"/>
                <w:rFonts w:eastAsia="MS Gothic"/>
                <w:b w:val="0"/>
                <w:iCs/>
                <w:color w:val="auto"/>
              </w:rPr>
              <w:t xml:space="preserve">II.4.2. </w:t>
            </w:r>
            <w:r w:rsidR="008A47EB" w:rsidRPr="002E2BCF">
              <w:rPr>
                <w:rStyle w:val="Hipervnculo"/>
                <w:rFonts w:eastAsia="MS Mincho"/>
                <w:b w:val="0"/>
                <w:iCs/>
                <w:color w:val="auto"/>
              </w:rPr>
              <w:t>Descripción de los efectos que genera el problema</w:t>
            </w:r>
            <w:r w:rsidR="008A47EB" w:rsidRPr="002E2BCF">
              <w:rPr>
                <w:rStyle w:val="Hipervnculo"/>
                <w:rFonts w:eastAsia="MS Mincho"/>
                <w:b w:val="0"/>
                <w:i/>
                <w:color w:val="auto"/>
              </w:rPr>
              <w:t>.</w:t>
            </w:r>
            <w:r w:rsidR="008A47EB" w:rsidRPr="002E2BCF">
              <w:rPr>
                <w:b w:val="0"/>
                <w:webHidden/>
              </w:rPr>
              <w:tab/>
            </w:r>
            <w:r w:rsidR="008A47EB" w:rsidRPr="002E2BCF">
              <w:rPr>
                <w:b w:val="0"/>
                <w:webHidden/>
              </w:rPr>
              <w:fldChar w:fldCharType="begin"/>
            </w:r>
            <w:r w:rsidR="008A47EB" w:rsidRPr="002E2BCF">
              <w:rPr>
                <w:b w:val="0"/>
                <w:webHidden/>
              </w:rPr>
              <w:instrText xml:space="preserve"> PAGEREF _Toc32920324 \h </w:instrText>
            </w:r>
            <w:r w:rsidR="008A47EB" w:rsidRPr="002E2BCF">
              <w:rPr>
                <w:b w:val="0"/>
                <w:webHidden/>
              </w:rPr>
            </w:r>
            <w:r w:rsidR="008A47EB" w:rsidRPr="002E2BCF">
              <w:rPr>
                <w:b w:val="0"/>
                <w:webHidden/>
              </w:rPr>
              <w:fldChar w:fldCharType="separate"/>
            </w:r>
            <w:r w:rsidR="008A47EB" w:rsidRPr="002E2BCF">
              <w:rPr>
                <w:b w:val="0"/>
                <w:webHidden/>
              </w:rPr>
              <w:t>25</w:t>
            </w:r>
            <w:r w:rsidR="008A47EB" w:rsidRPr="002E2BCF">
              <w:rPr>
                <w:b w:val="0"/>
                <w:webHidden/>
              </w:rPr>
              <w:fldChar w:fldCharType="end"/>
            </w:r>
          </w:hyperlink>
        </w:p>
        <w:p w14:paraId="379F68CA" w14:textId="6354FC8C" w:rsidR="008A47EB" w:rsidRPr="008A47EB" w:rsidRDefault="007A1A58" w:rsidP="008A47EB">
          <w:pPr>
            <w:pStyle w:val="TDC1"/>
            <w:rPr>
              <w:sz w:val="22"/>
              <w:szCs w:val="22"/>
              <w:lang w:val="es-MX" w:eastAsia="es-MX"/>
            </w:rPr>
          </w:pPr>
          <w:hyperlink w:anchor="_Toc32920325" w:history="1">
            <w:r w:rsidR="008A47EB" w:rsidRPr="008A47EB">
              <w:rPr>
                <w:rStyle w:val="Hipervnculo"/>
                <w:color w:val="auto"/>
              </w:rPr>
              <w:t>III.</w:t>
            </w:r>
            <w:r w:rsidR="008A47EB" w:rsidRPr="008A47EB">
              <w:rPr>
                <w:sz w:val="22"/>
                <w:szCs w:val="22"/>
                <w:lang w:val="es-MX" w:eastAsia="es-MX"/>
              </w:rPr>
              <w:tab/>
            </w:r>
            <w:r w:rsidR="008A47EB" w:rsidRPr="008A47EB">
              <w:rPr>
                <w:rStyle w:val="Hipervnculo"/>
                <w:color w:val="auto"/>
              </w:rPr>
              <w:t>Objetivos</w:t>
            </w:r>
            <w:r w:rsidR="008A47EB" w:rsidRPr="008A47EB">
              <w:rPr>
                <w:webHidden/>
              </w:rPr>
              <w:tab/>
            </w:r>
            <w:r w:rsidR="008A47EB" w:rsidRPr="008A47EB">
              <w:rPr>
                <w:webHidden/>
              </w:rPr>
              <w:fldChar w:fldCharType="begin"/>
            </w:r>
            <w:r w:rsidR="008A47EB" w:rsidRPr="008A47EB">
              <w:rPr>
                <w:webHidden/>
              </w:rPr>
              <w:instrText xml:space="preserve"> PAGEREF _Toc32920325 \h </w:instrText>
            </w:r>
            <w:r w:rsidR="008A47EB" w:rsidRPr="008A47EB">
              <w:rPr>
                <w:webHidden/>
              </w:rPr>
            </w:r>
            <w:r w:rsidR="008A47EB" w:rsidRPr="008A47EB">
              <w:rPr>
                <w:webHidden/>
              </w:rPr>
              <w:fldChar w:fldCharType="separate"/>
            </w:r>
            <w:r w:rsidR="008A47EB" w:rsidRPr="008A47EB">
              <w:rPr>
                <w:webHidden/>
              </w:rPr>
              <w:t>26</w:t>
            </w:r>
            <w:r w:rsidR="008A47EB" w:rsidRPr="008A47EB">
              <w:rPr>
                <w:webHidden/>
              </w:rPr>
              <w:fldChar w:fldCharType="end"/>
            </w:r>
          </w:hyperlink>
        </w:p>
        <w:p w14:paraId="7983CC2B" w14:textId="033E4258" w:rsidR="008A47EB" w:rsidRPr="002E2BCF" w:rsidRDefault="007A1A58" w:rsidP="002E2BCF">
          <w:pPr>
            <w:pStyle w:val="TDC2"/>
            <w:rPr>
              <w:sz w:val="22"/>
              <w:szCs w:val="22"/>
              <w:lang w:val="es-MX" w:eastAsia="es-MX"/>
            </w:rPr>
          </w:pPr>
          <w:hyperlink w:anchor="_Toc32920326" w:history="1">
            <w:r w:rsidR="008A47EB" w:rsidRPr="002E2BCF">
              <w:rPr>
                <w:rStyle w:val="Hipervnculo"/>
                <w:rFonts w:eastAsia="Times New Roman"/>
              </w:rPr>
              <w:t>III.1. Árbol de objetivos</w:t>
            </w:r>
            <w:r w:rsidR="008A47EB" w:rsidRPr="002E2BCF">
              <w:rPr>
                <w:webHidden/>
              </w:rPr>
              <w:tab/>
            </w:r>
            <w:r w:rsidR="008A47EB" w:rsidRPr="002E2BCF">
              <w:rPr>
                <w:webHidden/>
              </w:rPr>
              <w:fldChar w:fldCharType="begin"/>
            </w:r>
            <w:r w:rsidR="008A47EB" w:rsidRPr="002E2BCF">
              <w:rPr>
                <w:webHidden/>
              </w:rPr>
              <w:instrText xml:space="preserve"> PAGEREF _Toc32920326 \h </w:instrText>
            </w:r>
            <w:r w:rsidR="008A47EB" w:rsidRPr="002E2BCF">
              <w:rPr>
                <w:webHidden/>
              </w:rPr>
            </w:r>
            <w:r w:rsidR="008A47EB" w:rsidRPr="002E2BCF">
              <w:rPr>
                <w:webHidden/>
              </w:rPr>
              <w:fldChar w:fldCharType="separate"/>
            </w:r>
            <w:r w:rsidR="008A47EB" w:rsidRPr="002E2BCF">
              <w:rPr>
                <w:webHidden/>
              </w:rPr>
              <w:t>26</w:t>
            </w:r>
            <w:r w:rsidR="008A47EB" w:rsidRPr="002E2BCF">
              <w:rPr>
                <w:webHidden/>
              </w:rPr>
              <w:fldChar w:fldCharType="end"/>
            </w:r>
          </w:hyperlink>
        </w:p>
        <w:p w14:paraId="503C9611" w14:textId="1214D439" w:rsidR="008A47EB" w:rsidRPr="002E2BCF" w:rsidRDefault="007A1A58" w:rsidP="002E2BCF">
          <w:pPr>
            <w:pStyle w:val="TDC2"/>
            <w:rPr>
              <w:sz w:val="22"/>
              <w:szCs w:val="22"/>
              <w:lang w:val="es-MX" w:eastAsia="es-MX"/>
            </w:rPr>
          </w:pPr>
          <w:hyperlink w:anchor="_Toc32920327" w:history="1">
            <w:r w:rsidR="008A47EB" w:rsidRPr="002E2BCF">
              <w:rPr>
                <w:rStyle w:val="Hipervnculo"/>
                <w:rFonts w:eastAsia="Times New Roman"/>
              </w:rPr>
              <w:t>III.2. Determinación y justificación de los objetivos de la intervención</w:t>
            </w:r>
            <w:r w:rsidR="008A47EB" w:rsidRPr="002E2BCF">
              <w:rPr>
                <w:webHidden/>
              </w:rPr>
              <w:tab/>
            </w:r>
            <w:r w:rsidR="008A47EB" w:rsidRPr="002E2BCF">
              <w:rPr>
                <w:webHidden/>
              </w:rPr>
              <w:fldChar w:fldCharType="begin"/>
            </w:r>
            <w:r w:rsidR="008A47EB" w:rsidRPr="002E2BCF">
              <w:rPr>
                <w:webHidden/>
              </w:rPr>
              <w:instrText xml:space="preserve"> PAGEREF _Toc32920327 \h </w:instrText>
            </w:r>
            <w:r w:rsidR="008A47EB" w:rsidRPr="002E2BCF">
              <w:rPr>
                <w:webHidden/>
              </w:rPr>
            </w:r>
            <w:r w:rsidR="008A47EB" w:rsidRPr="002E2BCF">
              <w:rPr>
                <w:webHidden/>
              </w:rPr>
              <w:fldChar w:fldCharType="separate"/>
            </w:r>
            <w:r w:rsidR="008A47EB" w:rsidRPr="002E2BCF">
              <w:rPr>
                <w:webHidden/>
              </w:rPr>
              <w:t>29</w:t>
            </w:r>
            <w:r w:rsidR="008A47EB" w:rsidRPr="002E2BCF">
              <w:rPr>
                <w:webHidden/>
              </w:rPr>
              <w:fldChar w:fldCharType="end"/>
            </w:r>
          </w:hyperlink>
        </w:p>
        <w:p w14:paraId="3F55DB2C" w14:textId="78634C87" w:rsidR="008A47EB" w:rsidRPr="002E2BCF" w:rsidRDefault="007A1A58" w:rsidP="002E2BCF">
          <w:pPr>
            <w:pStyle w:val="TDC2"/>
            <w:rPr>
              <w:sz w:val="22"/>
              <w:szCs w:val="22"/>
              <w:lang w:val="es-MX" w:eastAsia="es-MX"/>
            </w:rPr>
          </w:pPr>
          <w:hyperlink w:anchor="_Toc32920328" w:history="1">
            <w:r w:rsidR="008A47EB" w:rsidRPr="002E2BCF">
              <w:rPr>
                <w:rStyle w:val="Hipervnculo"/>
                <w:rFonts w:eastAsia="Times New Roman"/>
              </w:rPr>
              <w:t>III.3. Análisis de posibles complementariedades y coincidencias con otros programas federales.</w:t>
            </w:r>
            <w:r w:rsidR="008A47EB" w:rsidRPr="002E2BCF">
              <w:rPr>
                <w:webHidden/>
              </w:rPr>
              <w:tab/>
            </w:r>
            <w:r w:rsidR="008A47EB" w:rsidRPr="002E2BCF">
              <w:rPr>
                <w:webHidden/>
              </w:rPr>
              <w:fldChar w:fldCharType="begin"/>
            </w:r>
            <w:r w:rsidR="008A47EB" w:rsidRPr="002E2BCF">
              <w:rPr>
                <w:webHidden/>
              </w:rPr>
              <w:instrText xml:space="preserve"> PAGEREF _Toc32920328 \h </w:instrText>
            </w:r>
            <w:r w:rsidR="008A47EB" w:rsidRPr="002E2BCF">
              <w:rPr>
                <w:webHidden/>
              </w:rPr>
            </w:r>
            <w:r w:rsidR="008A47EB" w:rsidRPr="002E2BCF">
              <w:rPr>
                <w:webHidden/>
              </w:rPr>
              <w:fldChar w:fldCharType="separate"/>
            </w:r>
            <w:r w:rsidR="008A47EB" w:rsidRPr="002E2BCF">
              <w:rPr>
                <w:webHidden/>
              </w:rPr>
              <w:t>30</w:t>
            </w:r>
            <w:r w:rsidR="008A47EB" w:rsidRPr="002E2BCF">
              <w:rPr>
                <w:webHidden/>
              </w:rPr>
              <w:fldChar w:fldCharType="end"/>
            </w:r>
          </w:hyperlink>
        </w:p>
        <w:p w14:paraId="5BC60E62" w14:textId="0805BA60" w:rsidR="008A47EB" w:rsidRPr="008A47EB" w:rsidRDefault="007A1A58" w:rsidP="008A47EB">
          <w:pPr>
            <w:pStyle w:val="TDC1"/>
            <w:rPr>
              <w:sz w:val="22"/>
              <w:szCs w:val="22"/>
              <w:lang w:val="es-MX" w:eastAsia="es-MX"/>
            </w:rPr>
          </w:pPr>
          <w:hyperlink w:anchor="_Toc32920329" w:history="1">
            <w:r w:rsidR="008A47EB" w:rsidRPr="008A47EB">
              <w:rPr>
                <w:rStyle w:val="Hipervnculo"/>
                <w:color w:val="auto"/>
              </w:rPr>
              <w:t>IV.</w:t>
            </w:r>
            <w:r w:rsidR="008A47EB" w:rsidRPr="008A47EB">
              <w:rPr>
                <w:sz w:val="22"/>
                <w:szCs w:val="22"/>
                <w:lang w:val="es-MX" w:eastAsia="es-MX"/>
              </w:rPr>
              <w:tab/>
            </w:r>
            <w:r w:rsidR="008A47EB" w:rsidRPr="008A47EB">
              <w:rPr>
                <w:rStyle w:val="Hipervnculo"/>
                <w:color w:val="auto"/>
              </w:rPr>
              <w:t>Cobertura</w:t>
            </w:r>
            <w:r w:rsidR="008A47EB" w:rsidRPr="008A47EB">
              <w:rPr>
                <w:webHidden/>
              </w:rPr>
              <w:tab/>
            </w:r>
            <w:r w:rsidR="008A47EB" w:rsidRPr="008A47EB">
              <w:rPr>
                <w:webHidden/>
              </w:rPr>
              <w:fldChar w:fldCharType="begin"/>
            </w:r>
            <w:r w:rsidR="008A47EB" w:rsidRPr="008A47EB">
              <w:rPr>
                <w:webHidden/>
              </w:rPr>
              <w:instrText xml:space="preserve"> PAGEREF _Toc32920329 \h </w:instrText>
            </w:r>
            <w:r w:rsidR="008A47EB" w:rsidRPr="008A47EB">
              <w:rPr>
                <w:webHidden/>
              </w:rPr>
            </w:r>
            <w:r w:rsidR="008A47EB" w:rsidRPr="008A47EB">
              <w:rPr>
                <w:webHidden/>
              </w:rPr>
              <w:fldChar w:fldCharType="separate"/>
            </w:r>
            <w:r w:rsidR="008A47EB" w:rsidRPr="008A47EB">
              <w:rPr>
                <w:webHidden/>
              </w:rPr>
              <w:t>31</w:t>
            </w:r>
            <w:r w:rsidR="008A47EB" w:rsidRPr="008A47EB">
              <w:rPr>
                <w:webHidden/>
              </w:rPr>
              <w:fldChar w:fldCharType="end"/>
            </w:r>
          </w:hyperlink>
        </w:p>
        <w:p w14:paraId="5822B8EA" w14:textId="46AC6498" w:rsidR="008A47EB" w:rsidRPr="002E2BCF" w:rsidRDefault="007A1A58" w:rsidP="002E2BCF">
          <w:pPr>
            <w:pStyle w:val="TDC2"/>
            <w:rPr>
              <w:sz w:val="22"/>
              <w:szCs w:val="22"/>
              <w:lang w:val="es-MX" w:eastAsia="es-MX"/>
            </w:rPr>
          </w:pPr>
          <w:hyperlink w:anchor="_Toc32920330" w:history="1">
            <w:r w:rsidR="008A47EB" w:rsidRPr="002E2BCF">
              <w:rPr>
                <w:rStyle w:val="Hipervnculo"/>
                <w:rFonts w:eastAsia="Times New Roman"/>
              </w:rPr>
              <w:t>IV.1. Identificación y caracterización de la población potencial</w:t>
            </w:r>
            <w:r w:rsidR="008A47EB" w:rsidRPr="002E2BCF">
              <w:rPr>
                <w:webHidden/>
              </w:rPr>
              <w:tab/>
            </w:r>
            <w:r w:rsidR="008A47EB" w:rsidRPr="002E2BCF">
              <w:rPr>
                <w:webHidden/>
              </w:rPr>
              <w:fldChar w:fldCharType="begin"/>
            </w:r>
            <w:r w:rsidR="008A47EB" w:rsidRPr="002E2BCF">
              <w:rPr>
                <w:webHidden/>
              </w:rPr>
              <w:instrText xml:space="preserve"> PAGEREF _Toc32920330 \h </w:instrText>
            </w:r>
            <w:r w:rsidR="008A47EB" w:rsidRPr="002E2BCF">
              <w:rPr>
                <w:webHidden/>
              </w:rPr>
            </w:r>
            <w:r w:rsidR="008A47EB" w:rsidRPr="002E2BCF">
              <w:rPr>
                <w:webHidden/>
              </w:rPr>
              <w:fldChar w:fldCharType="separate"/>
            </w:r>
            <w:r w:rsidR="008A47EB" w:rsidRPr="002E2BCF">
              <w:rPr>
                <w:webHidden/>
              </w:rPr>
              <w:t>31</w:t>
            </w:r>
            <w:r w:rsidR="008A47EB" w:rsidRPr="002E2BCF">
              <w:rPr>
                <w:webHidden/>
              </w:rPr>
              <w:fldChar w:fldCharType="end"/>
            </w:r>
          </w:hyperlink>
        </w:p>
        <w:p w14:paraId="471CD7C0" w14:textId="236EBE32" w:rsidR="008A47EB" w:rsidRPr="002E2BCF" w:rsidRDefault="007A1A58" w:rsidP="002E2BCF">
          <w:pPr>
            <w:pStyle w:val="TDC2"/>
            <w:rPr>
              <w:sz w:val="22"/>
              <w:szCs w:val="22"/>
              <w:lang w:val="es-MX" w:eastAsia="es-MX"/>
            </w:rPr>
          </w:pPr>
          <w:hyperlink w:anchor="_Toc32920331" w:history="1">
            <w:r w:rsidR="008A47EB" w:rsidRPr="002E2BCF">
              <w:rPr>
                <w:rStyle w:val="Hipervnculo"/>
                <w:rFonts w:eastAsia="Calibri"/>
                <w:lang w:val="es-ES" w:eastAsia="en-US"/>
              </w:rPr>
              <w:t>IV.2. Forma de cuantificar las poblaciones</w:t>
            </w:r>
            <w:r w:rsidR="008A47EB" w:rsidRPr="002E2BCF">
              <w:rPr>
                <w:webHidden/>
              </w:rPr>
              <w:tab/>
            </w:r>
            <w:r w:rsidR="008A47EB" w:rsidRPr="002E2BCF">
              <w:rPr>
                <w:webHidden/>
              </w:rPr>
              <w:fldChar w:fldCharType="begin"/>
            </w:r>
            <w:r w:rsidR="008A47EB" w:rsidRPr="002E2BCF">
              <w:rPr>
                <w:webHidden/>
              </w:rPr>
              <w:instrText xml:space="preserve"> PAGEREF _Toc32920331 \h </w:instrText>
            </w:r>
            <w:r w:rsidR="008A47EB" w:rsidRPr="002E2BCF">
              <w:rPr>
                <w:webHidden/>
              </w:rPr>
            </w:r>
            <w:r w:rsidR="008A47EB" w:rsidRPr="002E2BCF">
              <w:rPr>
                <w:webHidden/>
              </w:rPr>
              <w:fldChar w:fldCharType="separate"/>
            </w:r>
            <w:r w:rsidR="008A47EB" w:rsidRPr="002E2BCF">
              <w:rPr>
                <w:webHidden/>
              </w:rPr>
              <w:t>32</w:t>
            </w:r>
            <w:r w:rsidR="008A47EB" w:rsidRPr="002E2BCF">
              <w:rPr>
                <w:webHidden/>
              </w:rPr>
              <w:fldChar w:fldCharType="end"/>
            </w:r>
          </w:hyperlink>
        </w:p>
        <w:p w14:paraId="388DCC6C" w14:textId="3FE4CDC1" w:rsidR="008A47EB" w:rsidRPr="002E2BCF" w:rsidRDefault="007A1A58" w:rsidP="002E2BCF">
          <w:pPr>
            <w:pStyle w:val="TDC2"/>
            <w:rPr>
              <w:sz w:val="22"/>
              <w:szCs w:val="22"/>
              <w:lang w:val="es-MX" w:eastAsia="es-MX"/>
            </w:rPr>
          </w:pPr>
          <w:hyperlink w:anchor="_Toc32920332" w:history="1">
            <w:r w:rsidR="008A47EB" w:rsidRPr="002E2BCF">
              <w:rPr>
                <w:rStyle w:val="Hipervnculo"/>
                <w:rFonts w:eastAsia="Times New Roman"/>
              </w:rPr>
              <w:t>IV.3. Frecuencia de actualización de la población potencial y objetivo</w:t>
            </w:r>
            <w:r w:rsidR="008A47EB" w:rsidRPr="002E2BCF">
              <w:rPr>
                <w:webHidden/>
              </w:rPr>
              <w:tab/>
            </w:r>
            <w:r w:rsidR="008A47EB" w:rsidRPr="002E2BCF">
              <w:rPr>
                <w:webHidden/>
              </w:rPr>
              <w:fldChar w:fldCharType="begin"/>
            </w:r>
            <w:r w:rsidR="008A47EB" w:rsidRPr="002E2BCF">
              <w:rPr>
                <w:webHidden/>
              </w:rPr>
              <w:instrText xml:space="preserve"> PAGEREF _Toc32920332 \h </w:instrText>
            </w:r>
            <w:r w:rsidR="008A47EB" w:rsidRPr="002E2BCF">
              <w:rPr>
                <w:webHidden/>
              </w:rPr>
            </w:r>
            <w:r w:rsidR="008A47EB" w:rsidRPr="002E2BCF">
              <w:rPr>
                <w:webHidden/>
              </w:rPr>
              <w:fldChar w:fldCharType="separate"/>
            </w:r>
            <w:r w:rsidR="008A47EB" w:rsidRPr="002E2BCF">
              <w:rPr>
                <w:webHidden/>
              </w:rPr>
              <w:t>34</w:t>
            </w:r>
            <w:r w:rsidR="008A47EB" w:rsidRPr="002E2BCF">
              <w:rPr>
                <w:webHidden/>
              </w:rPr>
              <w:fldChar w:fldCharType="end"/>
            </w:r>
          </w:hyperlink>
        </w:p>
        <w:p w14:paraId="32E825C0" w14:textId="5986E025" w:rsidR="008A47EB" w:rsidRDefault="007A1A58" w:rsidP="008A47EB">
          <w:pPr>
            <w:pStyle w:val="TDC1"/>
            <w:rPr>
              <w:sz w:val="22"/>
              <w:szCs w:val="22"/>
              <w:lang w:val="es-MX" w:eastAsia="es-MX"/>
            </w:rPr>
          </w:pPr>
          <w:hyperlink w:anchor="_Toc32920333" w:history="1">
            <w:r w:rsidR="008A47EB" w:rsidRPr="00F55EEB">
              <w:rPr>
                <w:rStyle w:val="Hipervnculo"/>
              </w:rPr>
              <w:t xml:space="preserve">V. </w:t>
            </w:r>
            <w:r w:rsidR="008A47EB">
              <w:rPr>
                <w:sz w:val="22"/>
                <w:szCs w:val="22"/>
                <w:lang w:val="es-MX" w:eastAsia="es-MX"/>
              </w:rPr>
              <w:tab/>
            </w:r>
            <w:r w:rsidR="008A47EB" w:rsidRPr="00F55EEB">
              <w:rPr>
                <w:rStyle w:val="Hipervnculo"/>
              </w:rPr>
              <w:t>Diseño de la intervención</w:t>
            </w:r>
            <w:r w:rsidR="008A47EB">
              <w:rPr>
                <w:webHidden/>
              </w:rPr>
              <w:tab/>
            </w:r>
            <w:r w:rsidR="008A47EB">
              <w:rPr>
                <w:webHidden/>
              </w:rPr>
              <w:fldChar w:fldCharType="begin"/>
            </w:r>
            <w:r w:rsidR="008A47EB">
              <w:rPr>
                <w:webHidden/>
              </w:rPr>
              <w:instrText xml:space="preserve"> PAGEREF _Toc32920333 \h </w:instrText>
            </w:r>
            <w:r w:rsidR="008A47EB">
              <w:rPr>
                <w:webHidden/>
              </w:rPr>
            </w:r>
            <w:r w:rsidR="008A47EB">
              <w:rPr>
                <w:webHidden/>
              </w:rPr>
              <w:fldChar w:fldCharType="separate"/>
            </w:r>
            <w:r w:rsidR="008A47EB">
              <w:rPr>
                <w:webHidden/>
              </w:rPr>
              <w:t>34</w:t>
            </w:r>
            <w:r w:rsidR="008A47EB">
              <w:rPr>
                <w:webHidden/>
              </w:rPr>
              <w:fldChar w:fldCharType="end"/>
            </w:r>
          </w:hyperlink>
        </w:p>
        <w:p w14:paraId="0EFCFA6A" w14:textId="7A0F43C4" w:rsidR="008A47EB" w:rsidRPr="002E2BCF" w:rsidRDefault="007A1A58" w:rsidP="002E2BCF">
          <w:pPr>
            <w:pStyle w:val="TDC2"/>
            <w:rPr>
              <w:sz w:val="22"/>
              <w:szCs w:val="22"/>
              <w:lang w:val="es-MX" w:eastAsia="es-MX"/>
            </w:rPr>
          </w:pPr>
          <w:hyperlink w:anchor="_Toc32920334" w:history="1">
            <w:r w:rsidR="008A47EB" w:rsidRPr="002E2BCF">
              <w:rPr>
                <w:rStyle w:val="Hipervnculo"/>
              </w:rPr>
              <w:t>V.1. Tipo de Intervención</w:t>
            </w:r>
            <w:r w:rsidR="008A47EB" w:rsidRPr="002E2BCF">
              <w:rPr>
                <w:webHidden/>
              </w:rPr>
              <w:tab/>
            </w:r>
            <w:r w:rsidR="008A47EB" w:rsidRPr="002E2BCF">
              <w:rPr>
                <w:webHidden/>
              </w:rPr>
              <w:fldChar w:fldCharType="begin"/>
            </w:r>
            <w:r w:rsidR="008A47EB" w:rsidRPr="002E2BCF">
              <w:rPr>
                <w:webHidden/>
              </w:rPr>
              <w:instrText xml:space="preserve"> PAGEREF _Toc32920334 \h </w:instrText>
            </w:r>
            <w:r w:rsidR="008A47EB" w:rsidRPr="002E2BCF">
              <w:rPr>
                <w:webHidden/>
              </w:rPr>
            </w:r>
            <w:r w:rsidR="008A47EB" w:rsidRPr="002E2BCF">
              <w:rPr>
                <w:webHidden/>
              </w:rPr>
              <w:fldChar w:fldCharType="separate"/>
            </w:r>
            <w:r w:rsidR="008A47EB" w:rsidRPr="002E2BCF">
              <w:rPr>
                <w:webHidden/>
              </w:rPr>
              <w:t>34</w:t>
            </w:r>
            <w:r w:rsidR="008A47EB" w:rsidRPr="002E2BCF">
              <w:rPr>
                <w:webHidden/>
              </w:rPr>
              <w:fldChar w:fldCharType="end"/>
            </w:r>
          </w:hyperlink>
        </w:p>
        <w:p w14:paraId="1A1F68CF" w14:textId="4FED6A99" w:rsidR="008A47EB" w:rsidRPr="002E2BCF" w:rsidRDefault="007A1A58" w:rsidP="002E2BCF">
          <w:pPr>
            <w:pStyle w:val="TDC2"/>
            <w:rPr>
              <w:sz w:val="22"/>
              <w:szCs w:val="22"/>
              <w:lang w:val="es-MX" w:eastAsia="es-MX"/>
            </w:rPr>
          </w:pPr>
          <w:hyperlink w:anchor="_Toc32920335" w:history="1">
            <w:r w:rsidR="008A47EB" w:rsidRPr="002E2BCF">
              <w:rPr>
                <w:rStyle w:val="Hipervnculo"/>
              </w:rPr>
              <w:t>V.2. Etapas de la intervención.</w:t>
            </w:r>
            <w:r w:rsidR="008A47EB" w:rsidRPr="002E2BCF">
              <w:rPr>
                <w:webHidden/>
              </w:rPr>
              <w:tab/>
            </w:r>
            <w:r w:rsidR="008A47EB" w:rsidRPr="002E2BCF">
              <w:rPr>
                <w:webHidden/>
              </w:rPr>
              <w:fldChar w:fldCharType="begin"/>
            </w:r>
            <w:r w:rsidR="008A47EB" w:rsidRPr="002E2BCF">
              <w:rPr>
                <w:webHidden/>
              </w:rPr>
              <w:instrText xml:space="preserve"> PAGEREF _Toc32920335 \h </w:instrText>
            </w:r>
            <w:r w:rsidR="008A47EB" w:rsidRPr="002E2BCF">
              <w:rPr>
                <w:webHidden/>
              </w:rPr>
            </w:r>
            <w:r w:rsidR="008A47EB" w:rsidRPr="002E2BCF">
              <w:rPr>
                <w:webHidden/>
              </w:rPr>
              <w:fldChar w:fldCharType="separate"/>
            </w:r>
            <w:r w:rsidR="008A47EB" w:rsidRPr="002E2BCF">
              <w:rPr>
                <w:webHidden/>
              </w:rPr>
              <w:t>37</w:t>
            </w:r>
            <w:r w:rsidR="008A47EB" w:rsidRPr="002E2BCF">
              <w:rPr>
                <w:webHidden/>
              </w:rPr>
              <w:fldChar w:fldCharType="end"/>
            </w:r>
          </w:hyperlink>
        </w:p>
        <w:p w14:paraId="42049ECC" w14:textId="5158E07D" w:rsidR="008A47EB" w:rsidRPr="002E2BCF" w:rsidRDefault="007A1A58" w:rsidP="002E2BCF">
          <w:pPr>
            <w:pStyle w:val="TDC2"/>
            <w:rPr>
              <w:sz w:val="22"/>
              <w:szCs w:val="22"/>
              <w:lang w:val="es-MX" w:eastAsia="es-MX"/>
            </w:rPr>
          </w:pPr>
          <w:hyperlink w:anchor="_Toc32920336" w:history="1">
            <w:r w:rsidR="008A47EB" w:rsidRPr="002E2BCF">
              <w:rPr>
                <w:rStyle w:val="Hipervnculo"/>
              </w:rPr>
              <w:t>V.3. Previsiones para la Integración y Operación del Padrón de Beneficiarios</w:t>
            </w:r>
            <w:r w:rsidR="008A47EB" w:rsidRPr="002E2BCF">
              <w:rPr>
                <w:webHidden/>
              </w:rPr>
              <w:tab/>
            </w:r>
            <w:r w:rsidR="008A47EB" w:rsidRPr="002E2BCF">
              <w:rPr>
                <w:webHidden/>
              </w:rPr>
              <w:fldChar w:fldCharType="begin"/>
            </w:r>
            <w:r w:rsidR="008A47EB" w:rsidRPr="002E2BCF">
              <w:rPr>
                <w:webHidden/>
              </w:rPr>
              <w:instrText xml:space="preserve"> PAGEREF _Toc32920336 \h </w:instrText>
            </w:r>
            <w:r w:rsidR="008A47EB" w:rsidRPr="002E2BCF">
              <w:rPr>
                <w:webHidden/>
              </w:rPr>
            </w:r>
            <w:r w:rsidR="008A47EB" w:rsidRPr="002E2BCF">
              <w:rPr>
                <w:webHidden/>
              </w:rPr>
              <w:fldChar w:fldCharType="separate"/>
            </w:r>
            <w:r w:rsidR="008A47EB" w:rsidRPr="002E2BCF">
              <w:rPr>
                <w:webHidden/>
              </w:rPr>
              <w:t>49</w:t>
            </w:r>
            <w:r w:rsidR="008A47EB" w:rsidRPr="002E2BCF">
              <w:rPr>
                <w:webHidden/>
              </w:rPr>
              <w:fldChar w:fldCharType="end"/>
            </w:r>
          </w:hyperlink>
        </w:p>
        <w:p w14:paraId="464CCA88" w14:textId="227554E7" w:rsidR="008A47EB" w:rsidRPr="002E2BCF" w:rsidRDefault="007A1A58" w:rsidP="002E2BCF">
          <w:pPr>
            <w:pStyle w:val="TDC2"/>
            <w:rPr>
              <w:sz w:val="22"/>
              <w:szCs w:val="22"/>
              <w:lang w:val="es-MX" w:eastAsia="es-MX"/>
            </w:rPr>
          </w:pPr>
          <w:hyperlink w:anchor="_Toc32920337" w:history="1">
            <w:r w:rsidR="008A47EB" w:rsidRPr="002E2BCF">
              <w:rPr>
                <w:rStyle w:val="Hipervnculo"/>
              </w:rPr>
              <w:t>V.4.</w:t>
            </w:r>
            <w:r w:rsidR="008A47EB" w:rsidRPr="002E2BCF">
              <w:rPr>
                <w:sz w:val="22"/>
                <w:szCs w:val="22"/>
                <w:lang w:val="es-MX" w:eastAsia="es-MX"/>
              </w:rPr>
              <w:tab/>
            </w:r>
            <w:r w:rsidR="008A47EB" w:rsidRPr="002E2BCF">
              <w:rPr>
                <w:rStyle w:val="Hipervnculo"/>
              </w:rPr>
              <w:t>Matriz de Indicadores de Resultados</w:t>
            </w:r>
            <w:r w:rsidR="008A47EB" w:rsidRPr="002E2BCF">
              <w:rPr>
                <w:webHidden/>
              </w:rPr>
              <w:tab/>
            </w:r>
            <w:r w:rsidR="008A47EB" w:rsidRPr="002E2BCF">
              <w:rPr>
                <w:webHidden/>
              </w:rPr>
              <w:fldChar w:fldCharType="begin"/>
            </w:r>
            <w:r w:rsidR="008A47EB" w:rsidRPr="002E2BCF">
              <w:rPr>
                <w:webHidden/>
              </w:rPr>
              <w:instrText xml:space="preserve"> PAGEREF _Toc32920337 \h </w:instrText>
            </w:r>
            <w:r w:rsidR="008A47EB" w:rsidRPr="002E2BCF">
              <w:rPr>
                <w:webHidden/>
              </w:rPr>
            </w:r>
            <w:r w:rsidR="008A47EB" w:rsidRPr="002E2BCF">
              <w:rPr>
                <w:webHidden/>
              </w:rPr>
              <w:fldChar w:fldCharType="separate"/>
            </w:r>
            <w:r w:rsidR="008A47EB" w:rsidRPr="002E2BCF">
              <w:rPr>
                <w:webHidden/>
              </w:rPr>
              <w:t>50</w:t>
            </w:r>
            <w:r w:rsidR="008A47EB" w:rsidRPr="002E2BCF">
              <w:rPr>
                <w:webHidden/>
              </w:rPr>
              <w:fldChar w:fldCharType="end"/>
            </w:r>
          </w:hyperlink>
        </w:p>
        <w:p w14:paraId="0B0295C2" w14:textId="5168D5A1" w:rsidR="008A47EB" w:rsidRPr="002E2BCF" w:rsidRDefault="007A1A58" w:rsidP="002E2BCF">
          <w:pPr>
            <w:pStyle w:val="TDC2"/>
            <w:rPr>
              <w:sz w:val="22"/>
              <w:szCs w:val="22"/>
              <w:lang w:val="es-MX" w:eastAsia="es-MX"/>
            </w:rPr>
          </w:pPr>
          <w:hyperlink w:anchor="_Toc32920338" w:history="1">
            <w:r w:rsidR="008A47EB" w:rsidRPr="002E2BCF">
              <w:rPr>
                <w:rStyle w:val="Hipervnculo"/>
              </w:rPr>
              <w:t>V.5. Estimación del Costo Operativo del Programa</w:t>
            </w:r>
            <w:r w:rsidR="008A47EB" w:rsidRPr="002E2BCF">
              <w:rPr>
                <w:webHidden/>
              </w:rPr>
              <w:tab/>
            </w:r>
            <w:r w:rsidR="008A47EB" w:rsidRPr="002E2BCF">
              <w:rPr>
                <w:webHidden/>
              </w:rPr>
              <w:fldChar w:fldCharType="begin"/>
            </w:r>
            <w:r w:rsidR="008A47EB" w:rsidRPr="002E2BCF">
              <w:rPr>
                <w:webHidden/>
              </w:rPr>
              <w:instrText xml:space="preserve"> PAGEREF _Toc32920338 \h </w:instrText>
            </w:r>
            <w:r w:rsidR="008A47EB" w:rsidRPr="002E2BCF">
              <w:rPr>
                <w:webHidden/>
              </w:rPr>
            </w:r>
            <w:r w:rsidR="008A47EB" w:rsidRPr="002E2BCF">
              <w:rPr>
                <w:webHidden/>
              </w:rPr>
              <w:fldChar w:fldCharType="separate"/>
            </w:r>
            <w:r w:rsidR="008A47EB" w:rsidRPr="002E2BCF">
              <w:rPr>
                <w:webHidden/>
              </w:rPr>
              <w:t>59</w:t>
            </w:r>
            <w:r w:rsidR="008A47EB" w:rsidRPr="002E2BCF">
              <w:rPr>
                <w:webHidden/>
              </w:rPr>
              <w:fldChar w:fldCharType="end"/>
            </w:r>
          </w:hyperlink>
        </w:p>
        <w:p w14:paraId="7D37D87D" w14:textId="32CB5A01" w:rsidR="008A47EB" w:rsidRDefault="007A1A58" w:rsidP="008A47EB">
          <w:pPr>
            <w:pStyle w:val="TDC1"/>
            <w:rPr>
              <w:sz w:val="22"/>
              <w:szCs w:val="22"/>
              <w:lang w:val="es-MX" w:eastAsia="es-MX"/>
            </w:rPr>
          </w:pPr>
          <w:hyperlink w:anchor="_Toc32920339" w:history="1">
            <w:r w:rsidR="008A47EB" w:rsidRPr="00F55EEB">
              <w:rPr>
                <w:rStyle w:val="Hipervnculo"/>
              </w:rPr>
              <w:t>VI.</w:t>
            </w:r>
            <w:r w:rsidR="008A47EB">
              <w:rPr>
                <w:sz w:val="22"/>
                <w:szCs w:val="22"/>
                <w:lang w:val="es-MX" w:eastAsia="es-MX"/>
              </w:rPr>
              <w:tab/>
            </w:r>
            <w:r w:rsidR="008A47EB" w:rsidRPr="00F55EEB">
              <w:rPr>
                <w:rStyle w:val="Hipervnculo"/>
              </w:rPr>
              <w:t>Rendición de Cuentas y Transparencia</w:t>
            </w:r>
            <w:r w:rsidR="008A47EB">
              <w:rPr>
                <w:webHidden/>
              </w:rPr>
              <w:tab/>
            </w:r>
            <w:r w:rsidR="008A47EB">
              <w:rPr>
                <w:webHidden/>
              </w:rPr>
              <w:fldChar w:fldCharType="begin"/>
            </w:r>
            <w:r w:rsidR="008A47EB">
              <w:rPr>
                <w:webHidden/>
              </w:rPr>
              <w:instrText xml:space="preserve"> PAGEREF _Toc32920339 \h </w:instrText>
            </w:r>
            <w:r w:rsidR="008A47EB">
              <w:rPr>
                <w:webHidden/>
              </w:rPr>
            </w:r>
            <w:r w:rsidR="008A47EB">
              <w:rPr>
                <w:webHidden/>
              </w:rPr>
              <w:fldChar w:fldCharType="separate"/>
            </w:r>
            <w:r w:rsidR="008A47EB">
              <w:rPr>
                <w:webHidden/>
              </w:rPr>
              <w:t>60</w:t>
            </w:r>
            <w:r w:rsidR="008A47EB">
              <w:rPr>
                <w:webHidden/>
              </w:rPr>
              <w:fldChar w:fldCharType="end"/>
            </w:r>
          </w:hyperlink>
        </w:p>
        <w:p w14:paraId="62792945" w14:textId="787A4A86" w:rsidR="008A47EB" w:rsidRPr="002E2BCF" w:rsidRDefault="007A1A58" w:rsidP="002E2BCF">
          <w:pPr>
            <w:pStyle w:val="TDC2"/>
            <w:rPr>
              <w:sz w:val="22"/>
              <w:szCs w:val="22"/>
              <w:lang w:val="es-MX" w:eastAsia="es-MX"/>
            </w:rPr>
          </w:pPr>
          <w:hyperlink w:anchor="_Toc32920340" w:history="1">
            <w:r w:rsidR="008A47EB" w:rsidRPr="002E2BCF">
              <w:rPr>
                <w:rStyle w:val="Hipervnculo"/>
              </w:rPr>
              <w:t>VI.1</w:t>
            </w:r>
            <w:r w:rsidR="008A47EB" w:rsidRPr="002E2BCF">
              <w:rPr>
                <w:sz w:val="22"/>
                <w:szCs w:val="22"/>
                <w:lang w:val="es-MX" w:eastAsia="es-MX"/>
              </w:rPr>
              <w:tab/>
            </w:r>
            <w:r w:rsidR="008A47EB" w:rsidRPr="002E2BCF">
              <w:rPr>
                <w:rStyle w:val="Hipervnculo"/>
              </w:rPr>
              <w:t>Mecanismos de Rendición de Cuentas y Transparencia</w:t>
            </w:r>
            <w:r w:rsidR="008A47EB" w:rsidRPr="002E2BCF">
              <w:rPr>
                <w:webHidden/>
              </w:rPr>
              <w:tab/>
            </w:r>
            <w:r w:rsidR="008A47EB" w:rsidRPr="002E2BCF">
              <w:rPr>
                <w:webHidden/>
              </w:rPr>
              <w:fldChar w:fldCharType="begin"/>
            </w:r>
            <w:r w:rsidR="008A47EB" w:rsidRPr="002E2BCF">
              <w:rPr>
                <w:webHidden/>
              </w:rPr>
              <w:instrText xml:space="preserve"> PAGEREF _Toc32920340 \h </w:instrText>
            </w:r>
            <w:r w:rsidR="008A47EB" w:rsidRPr="002E2BCF">
              <w:rPr>
                <w:webHidden/>
              </w:rPr>
            </w:r>
            <w:r w:rsidR="008A47EB" w:rsidRPr="002E2BCF">
              <w:rPr>
                <w:webHidden/>
              </w:rPr>
              <w:fldChar w:fldCharType="separate"/>
            </w:r>
            <w:r w:rsidR="008A47EB" w:rsidRPr="002E2BCF">
              <w:rPr>
                <w:webHidden/>
              </w:rPr>
              <w:t>60</w:t>
            </w:r>
            <w:r w:rsidR="008A47EB" w:rsidRPr="002E2BCF">
              <w:rPr>
                <w:webHidden/>
              </w:rPr>
              <w:fldChar w:fldCharType="end"/>
            </w:r>
          </w:hyperlink>
        </w:p>
        <w:p w14:paraId="270D499F" w14:textId="5D3131A1" w:rsidR="002336F8" w:rsidRDefault="002336F8">
          <w:r>
            <w:rPr>
              <w:b/>
              <w:bCs/>
              <w:lang w:val="es-ES"/>
            </w:rPr>
            <w:fldChar w:fldCharType="end"/>
          </w:r>
        </w:p>
      </w:sdtContent>
    </w:sdt>
    <w:p w14:paraId="77D396AB" w14:textId="59ABA83A" w:rsidR="007C2077" w:rsidRPr="007C2077" w:rsidRDefault="007C2077" w:rsidP="009458C6">
      <w:pPr>
        <w:pStyle w:val="Ttulo1"/>
        <w:numPr>
          <w:ilvl w:val="0"/>
          <w:numId w:val="28"/>
        </w:numPr>
        <w:rPr>
          <w:rFonts w:ascii="Times New Roman" w:hAnsi="Times New Roman" w:cs="Times New Roman"/>
          <w:b/>
          <w:bCs/>
          <w:sz w:val="26"/>
          <w:szCs w:val="26"/>
        </w:rPr>
      </w:pPr>
      <w:bookmarkStart w:id="1" w:name="_Toc32920314"/>
      <w:r w:rsidRPr="007C2077">
        <w:rPr>
          <w:rFonts w:ascii="Times New Roman" w:hAnsi="Times New Roman" w:cs="Times New Roman"/>
          <w:b/>
          <w:bCs/>
          <w:sz w:val="26"/>
          <w:szCs w:val="26"/>
        </w:rPr>
        <w:lastRenderedPageBreak/>
        <w:t>Antecedentes</w:t>
      </w:r>
      <w:bookmarkEnd w:id="0"/>
      <w:bookmarkEnd w:id="1"/>
    </w:p>
    <w:p w14:paraId="0B48205A" w14:textId="77777777" w:rsidR="007C2077" w:rsidRPr="007C2077" w:rsidRDefault="007C2077" w:rsidP="007C2077"/>
    <w:p w14:paraId="690DC47B" w14:textId="166FFF14" w:rsidR="007C2077" w:rsidRPr="007C2077" w:rsidRDefault="007C2077" w:rsidP="007C2077">
      <w:pPr>
        <w:spacing w:line="360" w:lineRule="auto"/>
        <w:jc w:val="both"/>
        <w:rPr>
          <w:rFonts w:ascii="Times New Roman" w:hAnsi="Times New Roman" w:cs="Times New Roman"/>
        </w:rPr>
      </w:pPr>
      <w:r w:rsidRPr="007C2077">
        <w:rPr>
          <w:rFonts w:ascii="Times New Roman" w:hAnsi="Times New Roman" w:cs="Times New Roman"/>
        </w:rPr>
        <w:t xml:space="preserve">La Ley para el Fomento de la Investigación Científica y Tecnológica publicada el 21 de mayo de 1999 estableció por primera vez la existencia de Fondos </w:t>
      </w:r>
      <w:r w:rsidR="008922A3">
        <w:rPr>
          <w:rFonts w:ascii="Times New Roman" w:hAnsi="Times New Roman" w:cs="Times New Roman"/>
        </w:rPr>
        <w:t>CONACYT</w:t>
      </w:r>
      <w:r w:rsidRPr="007C2077">
        <w:rPr>
          <w:rFonts w:ascii="Times New Roman" w:hAnsi="Times New Roman" w:cs="Times New Roman"/>
        </w:rPr>
        <w:t xml:space="preserve"> y Fondos de Investigación Científica y Desarrollo Tecnológico, previendo de forma general, principios para su funcionamiento. </w:t>
      </w:r>
    </w:p>
    <w:p w14:paraId="50378DD5" w14:textId="77777777" w:rsidR="007C2077" w:rsidRPr="007C2077" w:rsidRDefault="007C2077" w:rsidP="007C2077">
      <w:pPr>
        <w:spacing w:line="360" w:lineRule="auto"/>
      </w:pPr>
    </w:p>
    <w:p w14:paraId="7E48F479" w14:textId="77777777" w:rsidR="007C2077" w:rsidRPr="007C2077" w:rsidRDefault="007C2077" w:rsidP="007C2077">
      <w:pPr>
        <w:spacing w:line="360" w:lineRule="auto"/>
        <w:jc w:val="both"/>
        <w:rPr>
          <w:rFonts w:ascii="Times New Roman" w:hAnsi="Times New Roman" w:cs="Times New Roman"/>
        </w:rPr>
      </w:pPr>
      <w:bookmarkStart w:id="2" w:name="_Toc447611664"/>
      <w:r w:rsidRPr="007C2077">
        <w:rPr>
          <w:rFonts w:ascii="Times New Roman" w:hAnsi="Times New Roman" w:cs="Times New Roman"/>
        </w:rPr>
        <w:t>La Ley de Ciencia y Tecnología, publicada en el Diario Oficial de la Federación el cinco de junio de 2002 establece como base de una política de Estado, que sustente la integración del Sistema Nacional de Ciencia y Tecnología, el incrementar la capacidad científica, tecnológica, de innovación y la formación de capital humano especializado para resolver problemas nacionales, contribuir al desarrollo del país y a elevar el bienestar de la población. De igual manera, señala la integración de los diversos sectores para el impulso del conocimiento científico y tecnológico en áreas estratégicas para el desarrollo del país.</w:t>
      </w:r>
    </w:p>
    <w:p w14:paraId="4FD7CCD4" w14:textId="77777777" w:rsidR="007C2077" w:rsidRPr="007C2077" w:rsidRDefault="007C2077" w:rsidP="007C2077">
      <w:pPr>
        <w:spacing w:line="360" w:lineRule="auto"/>
        <w:jc w:val="both"/>
        <w:rPr>
          <w:rFonts w:ascii="Times New Roman" w:hAnsi="Times New Roman" w:cs="Times New Roman"/>
        </w:rPr>
      </w:pPr>
    </w:p>
    <w:p w14:paraId="24D9B90F" w14:textId="77777777" w:rsidR="007C2077" w:rsidRPr="007C2077" w:rsidRDefault="007C2077" w:rsidP="007C2077">
      <w:pPr>
        <w:spacing w:line="360" w:lineRule="auto"/>
        <w:jc w:val="both"/>
        <w:rPr>
          <w:rFonts w:ascii="Times New Roman" w:hAnsi="Times New Roman" w:cs="Times New Roman"/>
        </w:rPr>
      </w:pPr>
      <w:r w:rsidRPr="007C2077">
        <w:rPr>
          <w:rFonts w:ascii="Times New Roman" w:hAnsi="Times New Roman" w:cs="Times New Roman"/>
        </w:rPr>
        <w:t>El Programa de Fortalecimiento a Nivel Sectorial de las Capacidades Científicas, Tecnológicas y de Innovación (S192) tiene como objeto incrementar la cantidad y calidad de la generación de conocimiento científico, tecnológico y de innovación en los procesos, productos, y/o servicios en sectores estratégicos para mejorar sus capacidades de solución de problemas a través de proyectos que permiten la generación del conocimiento y su aplicación.</w:t>
      </w:r>
    </w:p>
    <w:p w14:paraId="4F9D3855" w14:textId="77777777" w:rsidR="007C2077" w:rsidRPr="007C2077" w:rsidRDefault="007C2077" w:rsidP="007C2077">
      <w:pPr>
        <w:spacing w:line="360" w:lineRule="auto"/>
        <w:jc w:val="both"/>
        <w:rPr>
          <w:rFonts w:ascii="Times New Roman" w:hAnsi="Times New Roman" w:cs="Times New Roman"/>
        </w:rPr>
      </w:pPr>
    </w:p>
    <w:p w14:paraId="5D870472" w14:textId="1644C07B" w:rsidR="007C2077" w:rsidRPr="007C2077" w:rsidRDefault="007C2077" w:rsidP="007C2077">
      <w:pPr>
        <w:spacing w:line="360" w:lineRule="auto"/>
        <w:jc w:val="both"/>
        <w:rPr>
          <w:rFonts w:ascii="Times New Roman" w:hAnsi="Times New Roman" w:cs="Times New Roman"/>
        </w:rPr>
      </w:pPr>
      <w:r w:rsidRPr="007C2077">
        <w:rPr>
          <w:rFonts w:ascii="Times New Roman" w:hAnsi="Times New Roman" w:cs="Times New Roman"/>
        </w:rPr>
        <w:t>Dentro de los principios orientadores de la Ley de Ciencia y Tecnología, se contempla que las actividades de investigación, desarrollo tecnológico e Innovación que realicen las Dependencias y Entidades del Sector Público, se orientarán a procurar la identificación y solución de problemas de interés para los diferentes sectores del país a fin de avanzar en la frontera del conocimiento y su aplicación. En ese contexto, la misma Ley establece como instrumentos mediante los cuales el Gobierno Federal cumplirá con la obligación de apoyar la investigación científica y tecnológica e Innovación, entre otros</w:t>
      </w:r>
      <w:r w:rsidR="009E70E9">
        <w:rPr>
          <w:rFonts w:ascii="Times New Roman" w:hAnsi="Times New Roman" w:cs="Times New Roman"/>
        </w:rPr>
        <w:t>,</w:t>
      </w:r>
      <w:r w:rsidRPr="007C2077">
        <w:rPr>
          <w:rFonts w:ascii="Times New Roman" w:hAnsi="Times New Roman" w:cs="Times New Roman"/>
        </w:rPr>
        <w:t xml:space="preserve"> a los Fondos Sectoriales.</w:t>
      </w:r>
    </w:p>
    <w:p w14:paraId="1FC27503" w14:textId="77777777" w:rsidR="007C2077" w:rsidRPr="007C2077" w:rsidRDefault="007C2077" w:rsidP="007C2077">
      <w:pPr>
        <w:spacing w:line="360" w:lineRule="auto"/>
        <w:jc w:val="both"/>
        <w:rPr>
          <w:rFonts w:ascii="Times New Roman" w:hAnsi="Times New Roman" w:cs="Times New Roman"/>
        </w:rPr>
      </w:pPr>
    </w:p>
    <w:p w14:paraId="020FC7A4" w14:textId="77777777" w:rsidR="007C2077" w:rsidRPr="007C2077" w:rsidRDefault="007C2077" w:rsidP="007C2077">
      <w:pPr>
        <w:spacing w:line="360" w:lineRule="auto"/>
        <w:jc w:val="both"/>
        <w:rPr>
          <w:rFonts w:ascii="Times New Roman" w:hAnsi="Times New Roman" w:cs="Times New Roman"/>
        </w:rPr>
      </w:pPr>
      <w:r w:rsidRPr="007C2077">
        <w:rPr>
          <w:rFonts w:ascii="Times New Roman" w:hAnsi="Times New Roman" w:cs="Times New Roman"/>
        </w:rPr>
        <w:lastRenderedPageBreak/>
        <w:t>El objeto del S192 es atender los problemas que planteen los Sectores, para los cuales pudiera encontrarse una solución mediante la investigación científica básica, aplicada, desarrollo tecnológico y de innovación.</w:t>
      </w:r>
    </w:p>
    <w:p w14:paraId="326A7FFF" w14:textId="77777777" w:rsidR="007C2077" w:rsidRPr="007C2077" w:rsidRDefault="007C2077" w:rsidP="007C2077">
      <w:pPr>
        <w:spacing w:line="360" w:lineRule="auto"/>
        <w:jc w:val="both"/>
        <w:rPr>
          <w:rFonts w:ascii="Times New Roman" w:hAnsi="Times New Roman" w:cs="Times New Roman"/>
        </w:rPr>
      </w:pPr>
    </w:p>
    <w:p w14:paraId="3ABD33EE" w14:textId="533BC308" w:rsidR="007C2077" w:rsidRPr="007C2077" w:rsidRDefault="007C2077" w:rsidP="007C2077">
      <w:pPr>
        <w:spacing w:line="360" w:lineRule="auto"/>
        <w:jc w:val="both"/>
        <w:rPr>
          <w:rFonts w:ascii="Times New Roman" w:hAnsi="Times New Roman" w:cs="Times New Roman"/>
        </w:rPr>
      </w:pPr>
      <w:r w:rsidRPr="007C2077">
        <w:rPr>
          <w:rFonts w:ascii="Times New Roman" w:hAnsi="Times New Roman" w:cs="Times New Roman"/>
        </w:rPr>
        <w:t xml:space="preserve">La Ley de Ciencia y Tecnología en </w:t>
      </w:r>
      <w:r w:rsidR="009E70E9">
        <w:rPr>
          <w:rFonts w:ascii="Times New Roman" w:hAnsi="Times New Roman" w:cs="Times New Roman"/>
        </w:rPr>
        <w:t>el</w:t>
      </w:r>
      <w:r w:rsidRPr="007C2077">
        <w:rPr>
          <w:rFonts w:ascii="Times New Roman" w:hAnsi="Times New Roman" w:cs="Times New Roman"/>
        </w:rPr>
        <w:t xml:space="preserve"> artículo 23, establece la constitución de los Fondos </w:t>
      </w:r>
      <w:r w:rsidR="008922A3">
        <w:rPr>
          <w:rFonts w:ascii="Times New Roman" w:hAnsi="Times New Roman" w:cs="Times New Roman"/>
        </w:rPr>
        <w:t>CONACYT</w:t>
      </w:r>
      <w:r w:rsidRPr="007C2077">
        <w:rPr>
          <w:rFonts w:ascii="Times New Roman" w:hAnsi="Times New Roman" w:cs="Times New Roman"/>
        </w:rPr>
        <w:t xml:space="preserve">, </w:t>
      </w:r>
      <w:r w:rsidR="009E70E9">
        <w:rPr>
          <w:rFonts w:ascii="Times New Roman" w:hAnsi="Times New Roman" w:cs="Times New Roman"/>
        </w:rPr>
        <w:t xml:space="preserve">y </w:t>
      </w:r>
      <w:r w:rsidRPr="007C2077">
        <w:rPr>
          <w:rFonts w:ascii="Times New Roman" w:hAnsi="Times New Roman" w:cs="Times New Roman"/>
        </w:rPr>
        <w:t xml:space="preserve">en </w:t>
      </w:r>
      <w:r w:rsidR="009E70E9">
        <w:rPr>
          <w:rFonts w:ascii="Times New Roman" w:hAnsi="Times New Roman" w:cs="Times New Roman"/>
        </w:rPr>
        <w:t>la</w:t>
      </w:r>
      <w:r w:rsidRPr="007C2077">
        <w:rPr>
          <w:rFonts w:ascii="Times New Roman" w:hAnsi="Times New Roman" w:cs="Times New Roman"/>
        </w:rPr>
        <w:t xml:space="preserve"> fracción II se establece como una modalidad “II. Los sectoriales que se establezcan y operen conforme a los artículos 25 y 26 de esta </w:t>
      </w:r>
      <w:r w:rsidR="00FA35EF" w:rsidRPr="007C2077">
        <w:rPr>
          <w:rFonts w:ascii="Times New Roman" w:hAnsi="Times New Roman" w:cs="Times New Roman"/>
        </w:rPr>
        <w:t>Ley”</w:t>
      </w:r>
      <w:r w:rsidR="009E70E9">
        <w:rPr>
          <w:rFonts w:ascii="Times New Roman" w:hAnsi="Times New Roman" w:cs="Times New Roman"/>
        </w:rPr>
        <w:t>.</w:t>
      </w:r>
      <w:r w:rsidR="00FA35EF" w:rsidRPr="007C2077">
        <w:rPr>
          <w:rFonts w:ascii="Times New Roman" w:hAnsi="Times New Roman" w:cs="Times New Roman"/>
        </w:rPr>
        <w:t xml:space="preserve"> El</w:t>
      </w:r>
      <w:r w:rsidRPr="007C2077">
        <w:rPr>
          <w:rFonts w:ascii="Times New Roman" w:hAnsi="Times New Roman" w:cs="Times New Roman"/>
        </w:rPr>
        <w:t xml:space="preserve"> artículo 25 de la Ley de Ciencia y Tecnología </w:t>
      </w:r>
      <w:r w:rsidR="00AD0EF5">
        <w:rPr>
          <w:rFonts w:ascii="Times New Roman" w:hAnsi="Times New Roman" w:cs="Times New Roman"/>
        </w:rPr>
        <w:t>señala</w:t>
      </w:r>
      <w:r w:rsidRPr="007C2077">
        <w:rPr>
          <w:rFonts w:ascii="Times New Roman" w:hAnsi="Times New Roman" w:cs="Times New Roman"/>
        </w:rPr>
        <w:t>:</w:t>
      </w:r>
    </w:p>
    <w:p w14:paraId="077DF739" w14:textId="77777777" w:rsidR="007C2077" w:rsidRPr="007C2077" w:rsidRDefault="007C2077" w:rsidP="007C2077">
      <w:pPr>
        <w:spacing w:line="360" w:lineRule="auto"/>
        <w:jc w:val="both"/>
        <w:rPr>
          <w:rFonts w:ascii="Times New Roman" w:hAnsi="Times New Roman" w:cs="Times New Roman"/>
        </w:rPr>
      </w:pPr>
    </w:p>
    <w:p w14:paraId="0681FD4F" w14:textId="4B2F60C9" w:rsidR="007C2077" w:rsidRPr="002E2BCF" w:rsidRDefault="007C2077" w:rsidP="007C2077">
      <w:pPr>
        <w:jc w:val="both"/>
        <w:rPr>
          <w:rFonts w:ascii="Times New Roman" w:hAnsi="Times New Roman" w:cs="Times New Roman"/>
          <w:i/>
          <w:iCs/>
        </w:rPr>
      </w:pPr>
      <w:r w:rsidRPr="002E2BCF">
        <w:rPr>
          <w:rFonts w:ascii="Times New Roman" w:hAnsi="Times New Roman" w:cs="Times New Roman"/>
          <w:i/>
          <w:iCs/>
        </w:rPr>
        <w:t xml:space="preserve">“Las Secretarías de Estado y las entidades de la Administración Pública Federal, podrán celebrar convenios con el </w:t>
      </w:r>
      <w:r w:rsidR="008922A3" w:rsidRPr="002E2BCF">
        <w:rPr>
          <w:rFonts w:ascii="Times New Roman" w:hAnsi="Times New Roman" w:cs="Times New Roman"/>
          <w:i/>
          <w:iCs/>
        </w:rPr>
        <w:t>CONACYT</w:t>
      </w:r>
      <w:r w:rsidRPr="002E2BCF">
        <w:rPr>
          <w:rFonts w:ascii="Times New Roman" w:hAnsi="Times New Roman" w:cs="Times New Roman"/>
          <w:i/>
          <w:iCs/>
        </w:rPr>
        <w:t xml:space="preserve">, cuyo propósito sea determinar el establecimiento de fondos sectoriales </w:t>
      </w:r>
      <w:r w:rsidR="008922A3" w:rsidRPr="002E2BCF">
        <w:rPr>
          <w:rFonts w:ascii="Times New Roman" w:hAnsi="Times New Roman" w:cs="Times New Roman"/>
          <w:i/>
          <w:iCs/>
        </w:rPr>
        <w:t>CONACYT</w:t>
      </w:r>
      <w:r w:rsidRPr="002E2BCF">
        <w:rPr>
          <w:rFonts w:ascii="Times New Roman" w:hAnsi="Times New Roman" w:cs="Times New Roman"/>
          <w:i/>
          <w:iCs/>
        </w:rPr>
        <w:t xml:space="preserve"> que se destinen a la realización de investigaciones científicas, desarrollo tecnológico, innovación, el registro nacional o internacional de propiedad intelectual, y la formación de recursos humanos especializados, becas, creación, fortalecimiento de grupos o cuerpos académicos o profesionales de investigación, desarrollo tecnológico e innovación, divulgación científica, tecnológica e innovación y de la infraestructura que requiera el sector de que se trate, en cada caso.” </w:t>
      </w:r>
    </w:p>
    <w:p w14:paraId="43DF6AA2" w14:textId="77777777" w:rsidR="007C2077" w:rsidRPr="002E2BCF" w:rsidRDefault="007C2077" w:rsidP="007C2077">
      <w:pPr>
        <w:spacing w:line="360" w:lineRule="auto"/>
        <w:jc w:val="both"/>
        <w:rPr>
          <w:rFonts w:ascii="Times New Roman" w:hAnsi="Times New Roman" w:cs="Times New Roman"/>
        </w:rPr>
      </w:pPr>
    </w:p>
    <w:p w14:paraId="6D0AA5C3" w14:textId="77777777" w:rsidR="007C2077" w:rsidRPr="007C2077" w:rsidRDefault="007C2077" w:rsidP="007C2077">
      <w:pPr>
        <w:spacing w:line="360" w:lineRule="auto"/>
        <w:jc w:val="both"/>
        <w:rPr>
          <w:rFonts w:ascii="Times New Roman" w:hAnsi="Times New Roman" w:cs="Times New Roman"/>
        </w:rPr>
      </w:pPr>
      <w:r w:rsidRPr="007C2077">
        <w:rPr>
          <w:rFonts w:ascii="Times New Roman" w:hAnsi="Times New Roman" w:cs="Times New Roman"/>
        </w:rPr>
        <w:t xml:space="preserve">Es importante establecer que lo que hoy se conoce como el Programa de Fortalecimiento a Nivel Sectorial de las Capacidades Científicas, Tecnológicas y de Innovación (S192), en un principio contaba con los fondos sectoriales dispersos, es decir, sin tener la figura de un programa. Cada uno de los fondos existentes operaba bajo una lógica distinta, en función de la Secretaría o dependencia de la APF que participaba en el fondo, y por tanto cada uno de estos contenía sus propios procesos, indicadores, resultados, etc. </w:t>
      </w:r>
    </w:p>
    <w:p w14:paraId="4C860CAB" w14:textId="77777777" w:rsidR="007C2077" w:rsidRPr="007C2077" w:rsidRDefault="007C2077" w:rsidP="007C2077">
      <w:pPr>
        <w:spacing w:line="360" w:lineRule="auto"/>
        <w:jc w:val="both"/>
        <w:rPr>
          <w:rFonts w:ascii="Times New Roman" w:hAnsi="Times New Roman" w:cs="Times New Roman"/>
        </w:rPr>
      </w:pPr>
    </w:p>
    <w:p w14:paraId="4DA0EC70" w14:textId="7BA0ED9E" w:rsidR="007C2077" w:rsidRPr="007C2077" w:rsidRDefault="007C2077" w:rsidP="007C2077">
      <w:pPr>
        <w:spacing w:line="360" w:lineRule="auto"/>
        <w:jc w:val="both"/>
        <w:rPr>
          <w:rFonts w:ascii="Times New Roman" w:hAnsi="Times New Roman" w:cs="Times New Roman"/>
        </w:rPr>
      </w:pPr>
      <w:r w:rsidRPr="007C2077">
        <w:rPr>
          <w:rFonts w:ascii="Times New Roman" w:hAnsi="Times New Roman" w:cs="Times New Roman"/>
        </w:rPr>
        <w:t xml:space="preserve">Debido a ello, el </w:t>
      </w:r>
      <w:r w:rsidR="008922A3">
        <w:rPr>
          <w:rFonts w:ascii="Times New Roman" w:hAnsi="Times New Roman" w:cs="Times New Roman"/>
        </w:rPr>
        <w:t>CONACYT</w:t>
      </w:r>
      <w:r w:rsidRPr="007C2077">
        <w:rPr>
          <w:rFonts w:ascii="Times New Roman" w:hAnsi="Times New Roman" w:cs="Times New Roman"/>
        </w:rPr>
        <w:t xml:space="preserve"> realizó una reingeniería en la estructura programática reconocida en el Presupuesto de Egresos de la Federación</w:t>
      </w:r>
      <w:r w:rsidR="00AD0EF5">
        <w:rPr>
          <w:rFonts w:ascii="Times New Roman" w:hAnsi="Times New Roman" w:cs="Times New Roman"/>
        </w:rPr>
        <w:t>,</w:t>
      </w:r>
      <w:r w:rsidRPr="007C2077">
        <w:rPr>
          <w:rFonts w:ascii="Times New Roman" w:hAnsi="Times New Roman" w:cs="Times New Roman"/>
        </w:rPr>
        <w:t xml:space="preserve"> y se decidió conjuntar en un solo programa presupuestal a los diferentes fondos sectoriales, establecer una normativa común, homogeneizar procesos y construir indicadores que trataran de incluir a cada uno de los fondos sectoriales. Es decir, la naturaleza heterogénea de los fondos implica una variedad de problemas específicos a atender, pero también distintos procesos.</w:t>
      </w:r>
    </w:p>
    <w:p w14:paraId="319B693E" w14:textId="77777777" w:rsidR="007C2077" w:rsidRPr="007C2077" w:rsidRDefault="007C2077" w:rsidP="007C2077">
      <w:pPr>
        <w:spacing w:line="360" w:lineRule="auto"/>
        <w:jc w:val="both"/>
        <w:rPr>
          <w:rFonts w:ascii="Times New Roman" w:hAnsi="Times New Roman" w:cs="Times New Roman"/>
        </w:rPr>
      </w:pPr>
    </w:p>
    <w:p w14:paraId="32214039" w14:textId="77777777" w:rsidR="007C2077" w:rsidRPr="007C2077" w:rsidRDefault="007C2077" w:rsidP="007C2077">
      <w:pPr>
        <w:spacing w:line="360" w:lineRule="auto"/>
        <w:jc w:val="both"/>
        <w:rPr>
          <w:rFonts w:ascii="Times New Roman" w:hAnsi="Times New Roman" w:cs="Times New Roman"/>
        </w:rPr>
      </w:pPr>
      <w:r w:rsidRPr="007C2077">
        <w:rPr>
          <w:rFonts w:ascii="Times New Roman" w:hAnsi="Times New Roman" w:cs="Times New Roman"/>
        </w:rPr>
        <w:lastRenderedPageBreak/>
        <w:t>El siguiente paso fue el establecimiento del Programa de Fortalecimiento a Nivel Sectorial de las Capacidades Científicas, Tecnológicas y de Innovación (S192), y como objeto principal lograr que los Sectores Administrativos de la Administración Pública Federal (APF) generen capacidades en ciencia, tecnología e innovación (CTI) mediante el otorgamiento de apoyos para el desarrollo de proyectos de investigación, desarrollo tecnológico e innovación (IDTI).</w:t>
      </w:r>
    </w:p>
    <w:p w14:paraId="40A9963C" w14:textId="77777777" w:rsidR="007C2077" w:rsidRPr="007C2077" w:rsidRDefault="007C2077" w:rsidP="007C2077">
      <w:pPr>
        <w:spacing w:line="360" w:lineRule="auto"/>
        <w:jc w:val="both"/>
        <w:rPr>
          <w:rFonts w:ascii="Times New Roman" w:hAnsi="Times New Roman" w:cs="Times New Roman"/>
        </w:rPr>
      </w:pPr>
    </w:p>
    <w:p w14:paraId="44F5593C" w14:textId="77777777" w:rsidR="007C2077" w:rsidRPr="007C2077" w:rsidRDefault="007C2077" w:rsidP="007C2077">
      <w:pPr>
        <w:spacing w:line="360" w:lineRule="auto"/>
        <w:jc w:val="both"/>
        <w:rPr>
          <w:rFonts w:ascii="Times New Roman" w:hAnsi="Times New Roman" w:cs="Times New Roman"/>
        </w:rPr>
      </w:pPr>
      <w:r w:rsidRPr="007C2077">
        <w:rPr>
          <w:rFonts w:ascii="Times New Roman" w:hAnsi="Times New Roman" w:cs="Times New Roman"/>
        </w:rPr>
        <w:t>El apoyo otorgado a través de los Fondos Sectoriales consistente en subsidios económicos para la realización de los proyectos de IDTI que contribuyan con la generación de capacidades de CTI de conformidad con los procesos de selección que cada convocatoria prevea.</w:t>
      </w:r>
    </w:p>
    <w:p w14:paraId="136D19AF" w14:textId="77777777" w:rsidR="007C2077" w:rsidRPr="007C2077" w:rsidRDefault="007C2077" w:rsidP="007C2077">
      <w:pPr>
        <w:spacing w:line="360" w:lineRule="auto"/>
        <w:jc w:val="both"/>
        <w:rPr>
          <w:rFonts w:ascii="Times New Roman" w:hAnsi="Times New Roman" w:cs="Times New Roman"/>
        </w:rPr>
      </w:pPr>
    </w:p>
    <w:p w14:paraId="5B7EFB9B" w14:textId="0CF69DFF" w:rsidR="007C2077" w:rsidRPr="007C2077" w:rsidRDefault="007C2077" w:rsidP="007C2077">
      <w:pPr>
        <w:spacing w:line="360" w:lineRule="auto"/>
        <w:jc w:val="both"/>
        <w:rPr>
          <w:rFonts w:ascii="Times New Roman" w:hAnsi="Times New Roman" w:cs="Times New Roman"/>
        </w:rPr>
      </w:pPr>
      <w:r w:rsidRPr="007C2077">
        <w:rPr>
          <w:rFonts w:ascii="Times New Roman" w:hAnsi="Times New Roman" w:cs="Times New Roman"/>
        </w:rPr>
        <w:t xml:space="preserve">En cada convocatoria podrán considerarse una o más modalidades de apoyo, las cuales se establecerán en función de las necesidades y problemáticas a resolver de cada Dependencia de la </w:t>
      </w:r>
      <w:r w:rsidR="00AD0EF5">
        <w:rPr>
          <w:rFonts w:ascii="Times New Roman" w:hAnsi="Times New Roman" w:cs="Times New Roman"/>
        </w:rPr>
        <w:t>A</w:t>
      </w:r>
      <w:r w:rsidRPr="007C2077">
        <w:rPr>
          <w:rFonts w:ascii="Times New Roman" w:hAnsi="Times New Roman" w:cs="Times New Roman"/>
        </w:rPr>
        <w:t>dministración Pública Federal.</w:t>
      </w:r>
    </w:p>
    <w:p w14:paraId="31874985" w14:textId="77777777" w:rsidR="007C2077" w:rsidRPr="007C2077" w:rsidRDefault="007C2077" w:rsidP="007C2077">
      <w:pPr>
        <w:spacing w:line="360" w:lineRule="auto"/>
        <w:jc w:val="both"/>
        <w:rPr>
          <w:rFonts w:ascii="Times New Roman" w:hAnsi="Times New Roman" w:cs="Times New Roman"/>
        </w:rPr>
      </w:pPr>
    </w:p>
    <w:p w14:paraId="2E1C2F7C" w14:textId="4275680F" w:rsidR="007C2077" w:rsidRPr="007C2077" w:rsidRDefault="007C2077" w:rsidP="007C2077">
      <w:pPr>
        <w:spacing w:line="360" w:lineRule="auto"/>
        <w:jc w:val="both"/>
        <w:rPr>
          <w:rFonts w:ascii="Times New Roman" w:hAnsi="Times New Roman" w:cs="Times New Roman"/>
        </w:rPr>
      </w:pPr>
      <w:r w:rsidRPr="007C2077">
        <w:rPr>
          <w:rFonts w:ascii="Times New Roman" w:hAnsi="Times New Roman" w:cs="Times New Roman"/>
        </w:rPr>
        <w:t>Con la modificación de las nuevas reglas de operación del Prog</w:t>
      </w:r>
      <w:r w:rsidR="00FA35EF">
        <w:rPr>
          <w:rFonts w:ascii="Times New Roman" w:hAnsi="Times New Roman" w:cs="Times New Roman"/>
        </w:rPr>
        <w:t>rama S192, el 24 de mayo de 2018</w:t>
      </w:r>
      <w:r w:rsidRPr="007C2077">
        <w:rPr>
          <w:rFonts w:ascii="Times New Roman" w:hAnsi="Times New Roman" w:cs="Times New Roman"/>
        </w:rPr>
        <w:t xml:space="preserve">, las modalidades de apoyo cambiaron de seis a cuatro:  </w:t>
      </w:r>
    </w:p>
    <w:p w14:paraId="0A567C6B" w14:textId="77777777" w:rsidR="007C2077" w:rsidRPr="007C2077" w:rsidRDefault="007C2077" w:rsidP="007C2077">
      <w:pPr>
        <w:spacing w:line="360" w:lineRule="auto"/>
        <w:jc w:val="both"/>
        <w:rPr>
          <w:rFonts w:ascii="Times New Roman" w:hAnsi="Times New Roman" w:cs="Times New Roman"/>
        </w:rPr>
      </w:pPr>
    </w:p>
    <w:p w14:paraId="32EFDC94" w14:textId="77777777" w:rsidR="007C2077" w:rsidRPr="007C2077" w:rsidRDefault="007C2077" w:rsidP="007C2077">
      <w:pPr>
        <w:numPr>
          <w:ilvl w:val="0"/>
          <w:numId w:val="1"/>
        </w:numPr>
        <w:spacing w:line="360" w:lineRule="auto"/>
        <w:contextualSpacing/>
        <w:jc w:val="both"/>
        <w:rPr>
          <w:rFonts w:ascii="Times New Roman" w:hAnsi="Times New Roman" w:cs="Times New Roman"/>
        </w:rPr>
      </w:pPr>
      <w:r w:rsidRPr="007C2077">
        <w:rPr>
          <w:rFonts w:ascii="Times New Roman" w:hAnsi="Times New Roman" w:cs="Times New Roman"/>
        </w:rPr>
        <w:t>Investigación Científica Básica</w:t>
      </w:r>
    </w:p>
    <w:p w14:paraId="36EDED16" w14:textId="77777777" w:rsidR="007C2077" w:rsidRPr="007C2077" w:rsidRDefault="007C2077" w:rsidP="007C2077">
      <w:pPr>
        <w:numPr>
          <w:ilvl w:val="0"/>
          <w:numId w:val="1"/>
        </w:numPr>
        <w:spacing w:line="360" w:lineRule="auto"/>
        <w:contextualSpacing/>
        <w:jc w:val="both"/>
        <w:rPr>
          <w:rFonts w:ascii="Times New Roman" w:hAnsi="Times New Roman" w:cs="Times New Roman"/>
        </w:rPr>
      </w:pPr>
      <w:r w:rsidRPr="007C2077">
        <w:rPr>
          <w:rFonts w:ascii="Times New Roman" w:hAnsi="Times New Roman" w:cs="Times New Roman"/>
        </w:rPr>
        <w:t>Instigación Científica Aplicada</w:t>
      </w:r>
    </w:p>
    <w:p w14:paraId="60AD3E3B" w14:textId="77777777" w:rsidR="007C2077" w:rsidRPr="007C2077" w:rsidRDefault="007C2077" w:rsidP="007C2077">
      <w:pPr>
        <w:numPr>
          <w:ilvl w:val="0"/>
          <w:numId w:val="1"/>
        </w:numPr>
        <w:spacing w:line="360" w:lineRule="auto"/>
        <w:contextualSpacing/>
        <w:jc w:val="both"/>
        <w:rPr>
          <w:rFonts w:ascii="Times New Roman" w:hAnsi="Times New Roman" w:cs="Times New Roman"/>
        </w:rPr>
      </w:pPr>
      <w:r w:rsidRPr="007C2077">
        <w:rPr>
          <w:rFonts w:ascii="Times New Roman" w:hAnsi="Times New Roman" w:cs="Times New Roman"/>
        </w:rPr>
        <w:t>Desarrollo Tecnológico</w:t>
      </w:r>
    </w:p>
    <w:p w14:paraId="71394415" w14:textId="77777777" w:rsidR="007C2077" w:rsidRPr="007C2077" w:rsidRDefault="007C2077" w:rsidP="007C2077">
      <w:pPr>
        <w:numPr>
          <w:ilvl w:val="0"/>
          <w:numId w:val="1"/>
        </w:numPr>
        <w:spacing w:line="360" w:lineRule="auto"/>
        <w:contextualSpacing/>
        <w:jc w:val="both"/>
        <w:rPr>
          <w:rFonts w:ascii="Times New Roman" w:hAnsi="Times New Roman" w:cs="Times New Roman"/>
        </w:rPr>
      </w:pPr>
      <w:r w:rsidRPr="007C2077">
        <w:rPr>
          <w:rFonts w:ascii="Times New Roman" w:hAnsi="Times New Roman" w:cs="Times New Roman"/>
        </w:rPr>
        <w:t>Innovación</w:t>
      </w:r>
    </w:p>
    <w:p w14:paraId="3CF5D3FD" w14:textId="77777777" w:rsidR="007C2077" w:rsidRPr="007C2077" w:rsidRDefault="007C2077" w:rsidP="007C2077">
      <w:pPr>
        <w:spacing w:line="360" w:lineRule="auto"/>
        <w:jc w:val="both"/>
        <w:rPr>
          <w:rFonts w:ascii="Times New Roman" w:hAnsi="Times New Roman" w:cs="Times New Roman"/>
        </w:rPr>
      </w:pPr>
    </w:p>
    <w:p w14:paraId="3DD25C37" w14:textId="77777777" w:rsidR="007C2077" w:rsidRPr="007C2077" w:rsidRDefault="007C2077" w:rsidP="007C2077">
      <w:pPr>
        <w:spacing w:line="360" w:lineRule="auto"/>
        <w:jc w:val="both"/>
        <w:rPr>
          <w:rFonts w:ascii="Times New Roman" w:hAnsi="Times New Roman" w:cs="Times New Roman"/>
        </w:rPr>
      </w:pPr>
      <w:r w:rsidRPr="007C2077">
        <w:rPr>
          <w:rFonts w:ascii="Times New Roman" w:hAnsi="Times New Roman" w:cs="Times New Roman"/>
        </w:rPr>
        <w:t xml:space="preserve">Las cuales contribuyen a fomentar las actividades de investigación científica y tecnológica, innovación, desarrollo tecnológico, formación y desarrollo de recursos humanos especializados, becas, divulgación científica y tecnológica, creación y fortalecimiento de grupos o cuerpos académicos de investigación y desarrollo tecnológico, así como la infraestructura de investigación y desarrollo que requieran los sectores; buscando con ello contribuir al desarrollo científico, tecnológico e innovación y con ello  lograr </w:t>
      </w:r>
      <w:r w:rsidRPr="007C2077">
        <w:rPr>
          <w:rFonts w:ascii="Times New Roman" w:hAnsi="Times New Roman" w:cs="Times New Roman"/>
        </w:rPr>
        <w:lastRenderedPageBreak/>
        <w:t>que los Sectores Administrativos de la Administración Pública Federal (APF) generen capacidades en ciencia, tecnología e innovación (CTI)</w:t>
      </w:r>
    </w:p>
    <w:p w14:paraId="4A287283" w14:textId="77777777" w:rsidR="007C2077" w:rsidRPr="007C2077" w:rsidRDefault="007C2077" w:rsidP="007C2077">
      <w:pPr>
        <w:spacing w:line="360" w:lineRule="auto"/>
        <w:jc w:val="both"/>
        <w:rPr>
          <w:rFonts w:ascii="Times New Roman" w:hAnsi="Times New Roman" w:cs="Times New Roman"/>
        </w:rPr>
      </w:pPr>
    </w:p>
    <w:p w14:paraId="0CBDDED7" w14:textId="1C5B14FD" w:rsidR="007C2077" w:rsidRPr="007C2077" w:rsidRDefault="007C2077" w:rsidP="007C2077">
      <w:pPr>
        <w:spacing w:line="360" w:lineRule="auto"/>
        <w:jc w:val="both"/>
        <w:rPr>
          <w:rFonts w:ascii="Times New Roman" w:hAnsi="Times New Roman" w:cs="Times New Roman"/>
        </w:rPr>
      </w:pPr>
      <w:r w:rsidRPr="007C2077">
        <w:rPr>
          <w:rFonts w:ascii="Times New Roman" w:hAnsi="Times New Roman" w:cs="Times New Roman"/>
        </w:rPr>
        <w:t xml:space="preserve">El mecanismo de intervención del </w:t>
      </w:r>
      <w:r w:rsidR="008922A3">
        <w:rPr>
          <w:rFonts w:ascii="Times New Roman" w:hAnsi="Times New Roman" w:cs="Times New Roman"/>
        </w:rPr>
        <w:t>CONACYT</w:t>
      </w:r>
      <w:r w:rsidRPr="007C2077">
        <w:rPr>
          <w:rFonts w:ascii="Times New Roman" w:hAnsi="Times New Roman" w:cs="Times New Roman"/>
        </w:rPr>
        <w:t xml:space="preserve"> se realiza a través de los Fondos Sectoriales, es decir, éstos constituyen los instrumentos del Programa para apoyar la realización de proyectos de investigación científica, tecnológica y de innovación mediante convocatorias abiertas y competitivas que buscan coadyuvar a resolver los problemas de investigación al que se enfrentan los sectores y que no pueden ser resueltos en su ámbito de competencia. </w:t>
      </w:r>
    </w:p>
    <w:p w14:paraId="6B1A8A03" w14:textId="77777777" w:rsidR="007C2077" w:rsidRPr="007C2077" w:rsidRDefault="007C2077" w:rsidP="007C2077">
      <w:pPr>
        <w:spacing w:line="360" w:lineRule="auto"/>
        <w:jc w:val="both"/>
        <w:rPr>
          <w:rFonts w:ascii="Times New Roman" w:hAnsi="Times New Roman" w:cs="Times New Roman"/>
        </w:rPr>
      </w:pPr>
    </w:p>
    <w:p w14:paraId="742D7FDC" w14:textId="77777777" w:rsidR="007C2077" w:rsidRPr="007C2077" w:rsidRDefault="007C2077" w:rsidP="007C2077">
      <w:pPr>
        <w:spacing w:line="360" w:lineRule="auto"/>
        <w:jc w:val="both"/>
        <w:rPr>
          <w:rFonts w:ascii="Times New Roman" w:hAnsi="Times New Roman" w:cs="Times New Roman"/>
        </w:rPr>
      </w:pPr>
      <w:r w:rsidRPr="007C2077">
        <w:rPr>
          <w:rFonts w:ascii="Times New Roman" w:hAnsi="Times New Roman" w:cs="Times New Roman"/>
        </w:rPr>
        <w:t xml:space="preserve">El mecanismo de gobernanza de cada fondo sectorial es a través de un Comité Técnico y de Administración establecido en los contratos de Fideicomisos y cuenta con diversas instancias que le permiten llevar a cabo los procesos genéricamente establecidos en las Reglas de Operación.  Así mismo su organización, y estructura se lleva a cabo conforme lo establecido en los artículos 25 y 26 de la </w:t>
      </w:r>
      <w:proofErr w:type="spellStart"/>
      <w:r w:rsidRPr="007C2077">
        <w:rPr>
          <w:rFonts w:ascii="Times New Roman" w:hAnsi="Times New Roman" w:cs="Times New Roman"/>
        </w:rPr>
        <w:t>LCyT</w:t>
      </w:r>
      <w:proofErr w:type="spellEnd"/>
      <w:r w:rsidRPr="007C2077">
        <w:rPr>
          <w:rFonts w:ascii="Times New Roman" w:hAnsi="Times New Roman" w:cs="Times New Roman"/>
        </w:rPr>
        <w:t xml:space="preserve">.  </w:t>
      </w:r>
    </w:p>
    <w:p w14:paraId="108F14FC" w14:textId="77777777" w:rsidR="007C2077" w:rsidRPr="007C2077" w:rsidRDefault="007C2077" w:rsidP="007C2077">
      <w:pPr>
        <w:spacing w:line="360" w:lineRule="auto"/>
        <w:jc w:val="both"/>
        <w:rPr>
          <w:rFonts w:ascii="Times New Roman" w:hAnsi="Times New Roman" w:cs="Times New Roman"/>
        </w:rPr>
      </w:pPr>
    </w:p>
    <w:p w14:paraId="315E7C7D" w14:textId="6E7AB478" w:rsidR="007C2077" w:rsidRPr="00301B33" w:rsidRDefault="007C2077" w:rsidP="007C2077">
      <w:pPr>
        <w:spacing w:line="360" w:lineRule="auto"/>
        <w:jc w:val="both"/>
        <w:rPr>
          <w:rFonts w:ascii="Times New Roman" w:hAnsi="Times New Roman" w:cs="Times New Roman"/>
        </w:rPr>
      </w:pPr>
      <w:r w:rsidRPr="007C2077">
        <w:rPr>
          <w:rFonts w:ascii="Times New Roman" w:hAnsi="Times New Roman" w:cs="Times New Roman"/>
        </w:rPr>
        <w:t xml:space="preserve">El programa de Fondos Sectoriales se encuentra en operación desde el año 2002, los Fondos Sectoriales se constituyen como fideicomisos públicos, uno por cada sector o entidad, en donde el </w:t>
      </w:r>
      <w:r w:rsidR="008922A3">
        <w:rPr>
          <w:rFonts w:ascii="Times New Roman" w:hAnsi="Times New Roman" w:cs="Times New Roman"/>
        </w:rPr>
        <w:t>CONACYT</w:t>
      </w:r>
      <w:r w:rsidRPr="007C2077">
        <w:rPr>
          <w:rFonts w:ascii="Times New Roman" w:hAnsi="Times New Roman" w:cs="Times New Roman"/>
        </w:rPr>
        <w:t xml:space="preserve"> y el sector o entidad que funge como su contraparte aportan recursos económicos al fideicomiso. </w:t>
      </w:r>
      <w:r w:rsidRPr="007C2077">
        <w:rPr>
          <w:rFonts w:ascii="Times New Roman" w:hAnsi="Times New Roman" w:cs="Times New Roman"/>
          <w:lang w:val="es-ES"/>
        </w:rPr>
        <w:t xml:space="preserve">La lista de Fondos Sectoriales constituidos se puede consultar en la siguiente liga: </w:t>
      </w:r>
    </w:p>
    <w:p w14:paraId="10DAA7C5" w14:textId="77777777" w:rsidR="007C2077" w:rsidRPr="007C2077" w:rsidRDefault="007C2077" w:rsidP="007C2077">
      <w:pPr>
        <w:rPr>
          <w:lang w:val="es-ES"/>
        </w:rPr>
      </w:pPr>
    </w:p>
    <w:p w14:paraId="3100E88C" w14:textId="0EA0B61A" w:rsidR="007B4A79" w:rsidRDefault="007A1A58" w:rsidP="00AD0EF5">
      <w:pPr>
        <w:spacing w:line="360" w:lineRule="auto"/>
        <w:jc w:val="both"/>
        <w:rPr>
          <w:rFonts w:ascii="Times New Roman" w:hAnsi="Times New Roman" w:cs="Times New Roman"/>
          <w:lang w:val="es-ES"/>
        </w:rPr>
      </w:pPr>
      <w:hyperlink r:id="rId8" w:history="1">
        <w:r w:rsidR="00D4263A" w:rsidRPr="003D3505">
          <w:rPr>
            <w:rStyle w:val="Hipervnculo"/>
          </w:rPr>
          <w:t>https://www.conacyt.gob.mx/index.php/fondos-sectoriales-constituidos2</w:t>
        </w:r>
      </w:hyperlink>
      <w:r w:rsidR="007C2077" w:rsidRPr="007C2077">
        <w:rPr>
          <w:rFonts w:ascii="Times New Roman" w:hAnsi="Times New Roman" w:cs="Times New Roman"/>
          <w:lang w:val="es-ES"/>
        </w:rPr>
        <w:t xml:space="preserve"> y de ahí se puede llegar a información específica para cada Fondo.</w:t>
      </w:r>
      <w:bookmarkEnd w:id="2"/>
    </w:p>
    <w:p w14:paraId="7BD6E4AF" w14:textId="6DC117D4" w:rsidR="00D4263A" w:rsidRPr="002C2BC1" w:rsidRDefault="007C2077" w:rsidP="00DB1A6A">
      <w:pPr>
        <w:pStyle w:val="Prrafodelista"/>
        <w:keepNext/>
        <w:keepLines/>
        <w:numPr>
          <w:ilvl w:val="0"/>
          <w:numId w:val="28"/>
        </w:numPr>
        <w:spacing w:before="100" w:beforeAutospacing="1" w:line="360" w:lineRule="auto"/>
        <w:ind w:left="714" w:hanging="357"/>
        <w:outlineLvl w:val="0"/>
        <w:rPr>
          <w:rFonts w:ascii="Times New Roman" w:eastAsia="Times New Roman" w:hAnsi="Times New Roman" w:cs="Times New Roman"/>
          <w:b/>
          <w:bCs/>
          <w:color w:val="2F5496" w:themeColor="accent1" w:themeShade="BF"/>
          <w:sz w:val="26"/>
          <w:szCs w:val="26"/>
        </w:rPr>
      </w:pPr>
      <w:bookmarkStart w:id="3" w:name="_Toc32920315"/>
      <w:r w:rsidRPr="002C2BC1">
        <w:rPr>
          <w:rFonts w:ascii="Times New Roman" w:eastAsia="Times New Roman" w:hAnsi="Times New Roman" w:cs="Times New Roman"/>
          <w:b/>
          <w:bCs/>
          <w:color w:val="2F5496" w:themeColor="accent1" w:themeShade="BF"/>
          <w:sz w:val="26"/>
          <w:szCs w:val="26"/>
        </w:rPr>
        <w:t>Identificación y descripción del Problema</w:t>
      </w:r>
      <w:bookmarkEnd w:id="3"/>
    </w:p>
    <w:p w14:paraId="3760E24A" w14:textId="48018EAF" w:rsidR="007C2077" w:rsidRDefault="007C2077" w:rsidP="00DB1A6A">
      <w:pPr>
        <w:spacing w:before="100" w:beforeAutospacing="1" w:line="360" w:lineRule="auto"/>
        <w:jc w:val="both"/>
        <w:rPr>
          <w:rFonts w:ascii="Times New Roman" w:eastAsia="Times New Roman" w:hAnsi="Times New Roman" w:cs="Times New Roman"/>
          <w:iCs/>
        </w:rPr>
      </w:pPr>
      <w:r w:rsidRPr="007C2077">
        <w:rPr>
          <w:rFonts w:ascii="Times New Roman" w:eastAsia="Times New Roman" w:hAnsi="Times New Roman" w:cs="Times New Roman"/>
          <w:iCs/>
        </w:rPr>
        <w:t xml:space="preserve">Uno de los problemas que enfrenta México se asocia </w:t>
      </w:r>
      <w:r w:rsidR="00511824">
        <w:rPr>
          <w:rFonts w:ascii="Times New Roman" w:eastAsia="Times New Roman" w:hAnsi="Times New Roman" w:cs="Times New Roman"/>
          <w:iCs/>
        </w:rPr>
        <w:t>con</w:t>
      </w:r>
      <w:r w:rsidRPr="007C2077">
        <w:rPr>
          <w:rFonts w:ascii="Times New Roman" w:eastAsia="Times New Roman" w:hAnsi="Times New Roman" w:cs="Times New Roman"/>
          <w:iCs/>
        </w:rPr>
        <w:t xml:space="preserve"> los bajos niveles de inversión en investigación en ciencia, desarrollo tecnológico e innovación. En este sentido, el Gasto en Investigación y Desarrollo Experimental (GIDE) permite medir el nivel de gasto que un país realiza para estimular esas actividades. Este indicador resulta relevante para poder ubicar a escala internacional el nivel de desarrollo de un país a partir de la investigación en ciencia y tecnología (Véase PECITI 2014-2018). </w:t>
      </w:r>
    </w:p>
    <w:p w14:paraId="7ECBA42A" w14:textId="77777777" w:rsidR="00D4263A" w:rsidRPr="007C2077" w:rsidRDefault="00D4263A" w:rsidP="00D4263A">
      <w:pPr>
        <w:spacing w:line="360" w:lineRule="auto"/>
        <w:jc w:val="both"/>
        <w:rPr>
          <w:rFonts w:ascii="Times New Roman" w:eastAsia="Times New Roman" w:hAnsi="Times New Roman" w:cs="Times New Roman"/>
          <w:iCs/>
          <w:sz w:val="26"/>
          <w:szCs w:val="26"/>
        </w:rPr>
      </w:pPr>
    </w:p>
    <w:p w14:paraId="1AD5FB4A" w14:textId="20026C7B" w:rsidR="007C2077" w:rsidRDefault="007C2077" w:rsidP="00D4263A">
      <w:pPr>
        <w:spacing w:line="360" w:lineRule="auto"/>
        <w:jc w:val="both"/>
        <w:rPr>
          <w:rFonts w:ascii="Times New Roman" w:eastAsia="Times New Roman" w:hAnsi="Times New Roman" w:cs="Times New Roman"/>
          <w:iCs/>
        </w:rPr>
      </w:pPr>
      <w:r w:rsidRPr="007C2077">
        <w:rPr>
          <w:rFonts w:ascii="Times New Roman" w:eastAsia="Times New Roman" w:hAnsi="Times New Roman" w:cs="Times New Roman"/>
          <w:iCs/>
        </w:rPr>
        <w:t xml:space="preserve">Derivado de la relevancia del indicador GIDE, en la tabla 1 se muestra el porcentaje de este respecto al Producto Interno Bruto (PIB) en algunos países. La tabla incluye, además del GIDE/PIB, la fuente principal de financiamiento y el nivel de Producto Interno Bruto Per Cápita. </w:t>
      </w:r>
    </w:p>
    <w:p w14:paraId="18086069" w14:textId="77777777" w:rsidR="00D4263A" w:rsidRPr="007C2077" w:rsidRDefault="00D4263A" w:rsidP="00D4263A">
      <w:pPr>
        <w:spacing w:line="360" w:lineRule="auto"/>
        <w:jc w:val="both"/>
        <w:rPr>
          <w:rFonts w:ascii="Times New Roman" w:eastAsia="Times New Roman" w:hAnsi="Times New Roman" w:cs="Times New Roman"/>
          <w:iCs/>
        </w:rPr>
      </w:pPr>
    </w:p>
    <w:p w14:paraId="1E160786" w14:textId="42A3807C" w:rsidR="007C2077" w:rsidRDefault="007C2077" w:rsidP="00D4263A">
      <w:pPr>
        <w:spacing w:line="360" w:lineRule="auto"/>
        <w:jc w:val="both"/>
        <w:rPr>
          <w:rFonts w:ascii="Times New Roman" w:eastAsia="Times New Roman" w:hAnsi="Times New Roman" w:cs="Times New Roman"/>
          <w:iCs/>
        </w:rPr>
      </w:pPr>
      <w:r w:rsidRPr="007C2077">
        <w:rPr>
          <w:rFonts w:ascii="Times New Roman" w:eastAsia="Times New Roman" w:hAnsi="Times New Roman" w:cs="Times New Roman"/>
          <w:iCs/>
        </w:rPr>
        <w:t xml:space="preserve">Los datos presentados muestran la existencia de una brecha entre México con otros países. Mientras el GIDE promedio entre los miembros de la Organización para la Cooperación y el Desarrollo Económicos (OCDE) fue de 2.34% de su PIB, México alcanzó el 0.49% para el año 2016. Si el país se compara con Brasil y Argentina por su similar PIB per cápita (1.3% y 0.53% del PIB, respectivamente), se evidencia todavía el bajo nivel de esta variable. </w:t>
      </w:r>
    </w:p>
    <w:p w14:paraId="1584EA3E" w14:textId="77777777" w:rsidR="00D4263A" w:rsidRPr="007C2077" w:rsidRDefault="00D4263A" w:rsidP="00D4263A">
      <w:pPr>
        <w:spacing w:line="360" w:lineRule="auto"/>
        <w:jc w:val="both"/>
        <w:rPr>
          <w:rFonts w:ascii="Times New Roman" w:eastAsia="Times New Roman" w:hAnsi="Times New Roman" w:cs="Times New Roman"/>
          <w:iCs/>
        </w:rPr>
      </w:pPr>
    </w:p>
    <w:p w14:paraId="4E2B57A7" w14:textId="3092B7AE" w:rsidR="007C2077" w:rsidRPr="007C2077" w:rsidRDefault="007C2077" w:rsidP="00D4263A">
      <w:pPr>
        <w:spacing w:line="360" w:lineRule="auto"/>
        <w:jc w:val="both"/>
        <w:rPr>
          <w:rFonts w:ascii="Times New Roman" w:eastAsia="Times New Roman" w:hAnsi="Times New Roman" w:cs="Times New Roman"/>
          <w:iCs/>
        </w:rPr>
      </w:pPr>
      <w:r w:rsidRPr="007C2077">
        <w:rPr>
          <w:rFonts w:ascii="Times New Roman" w:eastAsia="Times New Roman" w:hAnsi="Times New Roman" w:cs="Times New Roman"/>
          <w:iCs/>
        </w:rPr>
        <w:t>La tabla también muestra la fuente de financiamiento en Investigación y Desarrollo Experimental (IDE), ya sea por empresa, gobierno y otros ámbitos. En México, la principal fuente de financiamiento proviene del gobierno con el 67.4% del total. Mientras, las empresas sólo destinaron el 20.7% en el año 2016.</w:t>
      </w:r>
    </w:p>
    <w:p w14:paraId="5D9630B8" w14:textId="5A49630E" w:rsidR="007C2077" w:rsidRDefault="007C2077" w:rsidP="007C2077">
      <w:pPr>
        <w:rPr>
          <w:rFonts w:ascii="Calibri" w:eastAsia="Times New Roman" w:hAnsi="Calibri" w:cs="Times New Roman"/>
        </w:rPr>
      </w:pPr>
    </w:p>
    <w:p w14:paraId="6487EF6E" w14:textId="5961C19B" w:rsidR="007C2077" w:rsidRPr="00B25602" w:rsidRDefault="007C2077" w:rsidP="00D4263A">
      <w:pPr>
        <w:jc w:val="center"/>
        <w:rPr>
          <w:rFonts w:ascii="Times New Roman" w:eastAsia="Times New Roman" w:hAnsi="Times New Roman" w:cs="Times New Roman"/>
          <w:b/>
          <w:iCs/>
          <w:color w:val="323E4F" w:themeColor="text2" w:themeShade="BF"/>
        </w:rPr>
      </w:pPr>
      <w:r w:rsidRPr="00B25602">
        <w:rPr>
          <w:rFonts w:ascii="Times New Roman" w:eastAsia="Times New Roman" w:hAnsi="Times New Roman" w:cs="Times New Roman"/>
          <w:b/>
          <w:iCs/>
          <w:color w:val="323E4F" w:themeColor="text2" w:themeShade="BF"/>
        </w:rPr>
        <w:t>Tabla 1. Indicadores sobre GIDE y PIB, países seleccionados, 2016</w:t>
      </w:r>
      <w:bookmarkStart w:id="4" w:name="_Toc447611665"/>
    </w:p>
    <w:tbl>
      <w:tblPr>
        <w:tblStyle w:val="Tablaconcuadrcula4-nfasis3"/>
        <w:tblW w:w="5000" w:type="pct"/>
        <w:tblLook w:val="04A0" w:firstRow="1" w:lastRow="0" w:firstColumn="1" w:lastColumn="0" w:noHBand="0" w:noVBand="1"/>
      </w:tblPr>
      <w:tblGrid>
        <w:gridCol w:w="2393"/>
        <w:gridCol w:w="1228"/>
        <w:gridCol w:w="1061"/>
        <w:gridCol w:w="1028"/>
        <w:gridCol w:w="805"/>
        <w:gridCol w:w="1005"/>
        <w:gridCol w:w="2442"/>
      </w:tblGrid>
      <w:tr w:rsidR="007C2077" w:rsidRPr="007C2077" w14:paraId="4D43B13C" w14:textId="77777777" w:rsidTr="002E2B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7" w:type="pct"/>
            <w:vMerge w:val="restart"/>
            <w:hideMark/>
          </w:tcPr>
          <w:p w14:paraId="4DF93BC2" w14:textId="77777777" w:rsidR="007C2077" w:rsidRPr="008513E9" w:rsidRDefault="007C2077" w:rsidP="007C2077">
            <w:pPr>
              <w:jc w:val="center"/>
              <w:rPr>
                <w:rFonts w:ascii="Times New Roman" w:eastAsia="Times New Roman" w:hAnsi="Times New Roman" w:cs="Times New Roman"/>
                <w:b w:val="0"/>
                <w:bCs w:val="0"/>
                <w:color w:val="FFFFFF"/>
                <w:sz w:val="20"/>
                <w:szCs w:val="20"/>
                <w:lang w:val="es-MX" w:eastAsia="es-MX"/>
              </w:rPr>
            </w:pPr>
            <w:r w:rsidRPr="008513E9">
              <w:rPr>
                <w:rFonts w:ascii="Times New Roman" w:eastAsia="Times New Roman" w:hAnsi="Times New Roman" w:cs="Times New Roman"/>
                <w:b w:val="0"/>
                <w:bCs w:val="0"/>
                <w:color w:val="FFFFFF"/>
                <w:sz w:val="20"/>
                <w:szCs w:val="20"/>
                <w:lang w:val="es-MX" w:eastAsia="es-MX"/>
              </w:rPr>
              <w:t>País</w:t>
            </w:r>
          </w:p>
        </w:tc>
        <w:tc>
          <w:tcPr>
            <w:tcW w:w="614" w:type="pct"/>
            <w:vMerge w:val="restart"/>
            <w:hideMark/>
          </w:tcPr>
          <w:p w14:paraId="6D76516C" w14:textId="77777777" w:rsidR="007C2077" w:rsidRPr="008513E9" w:rsidRDefault="007C2077" w:rsidP="007C20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0"/>
                <w:szCs w:val="20"/>
                <w:lang w:val="es-MX" w:eastAsia="es-MX"/>
              </w:rPr>
            </w:pPr>
            <w:r w:rsidRPr="008513E9">
              <w:rPr>
                <w:rFonts w:ascii="Times New Roman" w:eastAsia="Times New Roman" w:hAnsi="Times New Roman" w:cs="Times New Roman"/>
                <w:b w:val="0"/>
                <w:bCs w:val="0"/>
                <w:color w:val="FFFFFF"/>
                <w:sz w:val="20"/>
                <w:szCs w:val="20"/>
                <w:lang w:val="es-MX" w:eastAsia="es-MX"/>
              </w:rPr>
              <w:t>GIDE/PIB%</w:t>
            </w:r>
          </w:p>
        </w:tc>
        <w:tc>
          <w:tcPr>
            <w:tcW w:w="1957" w:type="pct"/>
            <w:gridSpan w:val="4"/>
            <w:noWrap/>
            <w:hideMark/>
          </w:tcPr>
          <w:p w14:paraId="6F1E952B" w14:textId="77777777" w:rsidR="007C2077" w:rsidRPr="008513E9" w:rsidRDefault="007C2077" w:rsidP="007C20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0"/>
                <w:szCs w:val="20"/>
                <w:lang w:val="es-MX" w:eastAsia="es-MX"/>
              </w:rPr>
            </w:pPr>
            <w:r w:rsidRPr="008513E9">
              <w:rPr>
                <w:rFonts w:ascii="Times New Roman" w:eastAsia="Times New Roman" w:hAnsi="Times New Roman" w:cs="Times New Roman"/>
                <w:b w:val="0"/>
                <w:bCs w:val="0"/>
                <w:color w:val="FFFFFF"/>
                <w:sz w:val="20"/>
                <w:szCs w:val="20"/>
                <w:lang w:val="es-MX" w:eastAsia="es-MX"/>
              </w:rPr>
              <w:t>Fuente de financiamiento de la IDE (%)</w:t>
            </w:r>
          </w:p>
        </w:tc>
        <w:tc>
          <w:tcPr>
            <w:tcW w:w="1232" w:type="pct"/>
            <w:vMerge w:val="restart"/>
            <w:hideMark/>
          </w:tcPr>
          <w:p w14:paraId="034D730F" w14:textId="77777777" w:rsidR="007C2077" w:rsidRPr="008513E9" w:rsidRDefault="007C2077" w:rsidP="007C20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0"/>
                <w:szCs w:val="20"/>
                <w:lang w:val="es-MX" w:eastAsia="es-MX"/>
              </w:rPr>
            </w:pPr>
            <w:r w:rsidRPr="008513E9">
              <w:rPr>
                <w:rFonts w:ascii="Times New Roman" w:eastAsia="Times New Roman" w:hAnsi="Times New Roman" w:cs="Times New Roman"/>
                <w:b w:val="0"/>
                <w:bCs w:val="0"/>
                <w:color w:val="FFFFFF"/>
                <w:sz w:val="20"/>
                <w:szCs w:val="20"/>
                <w:lang w:val="es-MX" w:eastAsia="es-MX"/>
              </w:rPr>
              <w:t>PIB per cápita (Dólares corrientes PPP)</w:t>
            </w:r>
          </w:p>
        </w:tc>
      </w:tr>
      <w:tr w:rsidR="008513E9" w:rsidRPr="007C2077" w14:paraId="10B1F959" w14:textId="77777777" w:rsidTr="002E2B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7" w:type="pct"/>
            <w:vMerge/>
            <w:hideMark/>
          </w:tcPr>
          <w:p w14:paraId="38F319C6" w14:textId="77777777" w:rsidR="007C2077" w:rsidRPr="008513E9" w:rsidRDefault="007C2077" w:rsidP="007C2077">
            <w:pPr>
              <w:rPr>
                <w:rFonts w:ascii="Times New Roman" w:eastAsia="Times New Roman" w:hAnsi="Times New Roman" w:cs="Times New Roman"/>
                <w:b w:val="0"/>
                <w:bCs w:val="0"/>
                <w:color w:val="FFFFFF"/>
                <w:sz w:val="20"/>
                <w:szCs w:val="20"/>
                <w:lang w:val="es-MX" w:eastAsia="es-MX"/>
              </w:rPr>
            </w:pPr>
          </w:p>
        </w:tc>
        <w:tc>
          <w:tcPr>
            <w:tcW w:w="614" w:type="pct"/>
            <w:vMerge/>
            <w:hideMark/>
          </w:tcPr>
          <w:p w14:paraId="61309CA4" w14:textId="77777777" w:rsidR="007C2077" w:rsidRPr="008513E9" w:rsidRDefault="007C2077" w:rsidP="007C20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20"/>
                <w:szCs w:val="20"/>
                <w:lang w:val="es-MX" w:eastAsia="es-MX"/>
              </w:rPr>
            </w:pPr>
          </w:p>
        </w:tc>
        <w:tc>
          <w:tcPr>
            <w:tcW w:w="531" w:type="pct"/>
            <w:shd w:val="clear" w:color="auto" w:fill="A5A5A5" w:themeFill="accent3"/>
            <w:noWrap/>
            <w:hideMark/>
          </w:tcPr>
          <w:p w14:paraId="20F62602"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20"/>
                <w:szCs w:val="20"/>
                <w:lang w:val="es-MX" w:eastAsia="es-MX"/>
              </w:rPr>
            </w:pPr>
            <w:r w:rsidRPr="008513E9">
              <w:rPr>
                <w:rFonts w:ascii="Times New Roman" w:eastAsia="Times New Roman" w:hAnsi="Times New Roman" w:cs="Times New Roman"/>
                <w:b/>
                <w:bCs/>
                <w:color w:val="FFFFFF"/>
                <w:sz w:val="20"/>
                <w:szCs w:val="20"/>
                <w:lang w:val="es-MX" w:eastAsia="es-MX"/>
              </w:rPr>
              <w:t>Empresas</w:t>
            </w:r>
          </w:p>
        </w:tc>
        <w:tc>
          <w:tcPr>
            <w:tcW w:w="514" w:type="pct"/>
            <w:shd w:val="clear" w:color="auto" w:fill="A5A5A5" w:themeFill="accent3"/>
            <w:noWrap/>
            <w:hideMark/>
          </w:tcPr>
          <w:p w14:paraId="1E1CD9D2"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20"/>
                <w:szCs w:val="20"/>
                <w:lang w:val="es-MX" w:eastAsia="es-MX"/>
              </w:rPr>
            </w:pPr>
            <w:r w:rsidRPr="008513E9">
              <w:rPr>
                <w:rFonts w:ascii="Times New Roman" w:eastAsia="Times New Roman" w:hAnsi="Times New Roman" w:cs="Times New Roman"/>
                <w:b/>
                <w:bCs/>
                <w:color w:val="FFFFFF"/>
                <w:sz w:val="20"/>
                <w:szCs w:val="20"/>
                <w:lang w:val="es-MX" w:eastAsia="es-MX"/>
              </w:rPr>
              <w:t>Gobierno</w:t>
            </w:r>
          </w:p>
        </w:tc>
        <w:tc>
          <w:tcPr>
            <w:tcW w:w="403" w:type="pct"/>
            <w:shd w:val="clear" w:color="auto" w:fill="A5A5A5" w:themeFill="accent3"/>
            <w:noWrap/>
            <w:hideMark/>
          </w:tcPr>
          <w:p w14:paraId="53DCFE84"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20"/>
                <w:szCs w:val="20"/>
                <w:lang w:val="es-MX" w:eastAsia="es-MX"/>
              </w:rPr>
            </w:pPr>
            <w:r w:rsidRPr="008513E9">
              <w:rPr>
                <w:rFonts w:ascii="Times New Roman" w:eastAsia="Times New Roman" w:hAnsi="Times New Roman" w:cs="Times New Roman"/>
                <w:b/>
                <w:bCs/>
                <w:color w:val="FFFFFF"/>
                <w:sz w:val="20"/>
                <w:szCs w:val="20"/>
                <w:lang w:val="es-MX" w:eastAsia="es-MX"/>
              </w:rPr>
              <w:t>Otros*</w:t>
            </w:r>
          </w:p>
        </w:tc>
        <w:tc>
          <w:tcPr>
            <w:tcW w:w="510" w:type="pct"/>
            <w:shd w:val="clear" w:color="auto" w:fill="A5A5A5" w:themeFill="accent3"/>
            <w:noWrap/>
            <w:hideMark/>
          </w:tcPr>
          <w:p w14:paraId="601CF4C1"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20"/>
                <w:szCs w:val="20"/>
                <w:lang w:val="es-MX" w:eastAsia="es-MX"/>
              </w:rPr>
            </w:pPr>
            <w:r w:rsidRPr="008513E9">
              <w:rPr>
                <w:rFonts w:ascii="Times New Roman" w:eastAsia="Times New Roman" w:hAnsi="Times New Roman" w:cs="Times New Roman"/>
                <w:b/>
                <w:bCs/>
                <w:color w:val="FFFFFF"/>
                <w:sz w:val="20"/>
                <w:szCs w:val="20"/>
                <w:lang w:val="es-MX" w:eastAsia="es-MX"/>
              </w:rPr>
              <w:t>Total</w:t>
            </w:r>
          </w:p>
        </w:tc>
        <w:tc>
          <w:tcPr>
            <w:tcW w:w="1232" w:type="pct"/>
            <w:vMerge/>
            <w:hideMark/>
          </w:tcPr>
          <w:p w14:paraId="51E6720B" w14:textId="77777777" w:rsidR="007C2077" w:rsidRPr="008513E9" w:rsidRDefault="007C2077" w:rsidP="007C20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20"/>
                <w:szCs w:val="20"/>
                <w:lang w:val="es-MX" w:eastAsia="es-MX"/>
              </w:rPr>
            </w:pPr>
          </w:p>
        </w:tc>
      </w:tr>
      <w:tr w:rsidR="008513E9" w:rsidRPr="007C2077" w14:paraId="73BF3428" w14:textId="77777777" w:rsidTr="002E2BCF">
        <w:trPr>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16B78DA5" w14:textId="77777777" w:rsidR="007C2077" w:rsidRPr="008513E9" w:rsidRDefault="007C2077" w:rsidP="007C2077">
            <w:pPr>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Canadá</w:t>
            </w:r>
          </w:p>
        </w:tc>
        <w:tc>
          <w:tcPr>
            <w:tcW w:w="614" w:type="pct"/>
            <w:noWrap/>
            <w:hideMark/>
          </w:tcPr>
          <w:p w14:paraId="1AC1C344"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1.7</w:t>
            </w:r>
          </w:p>
        </w:tc>
        <w:tc>
          <w:tcPr>
            <w:tcW w:w="531" w:type="pct"/>
            <w:noWrap/>
            <w:hideMark/>
          </w:tcPr>
          <w:p w14:paraId="166CD6C1"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42.2</w:t>
            </w:r>
          </w:p>
        </w:tc>
        <w:tc>
          <w:tcPr>
            <w:tcW w:w="514" w:type="pct"/>
            <w:noWrap/>
            <w:hideMark/>
          </w:tcPr>
          <w:p w14:paraId="687775CA"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31.3</w:t>
            </w:r>
          </w:p>
        </w:tc>
        <w:tc>
          <w:tcPr>
            <w:tcW w:w="403" w:type="pct"/>
            <w:noWrap/>
            <w:hideMark/>
          </w:tcPr>
          <w:p w14:paraId="49EEB1C1"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26.5</w:t>
            </w:r>
          </w:p>
        </w:tc>
        <w:tc>
          <w:tcPr>
            <w:tcW w:w="510" w:type="pct"/>
            <w:noWrap/>
            <w:hideMark/>
          </w:tcPr>
          <w:p w14:paraId="65261E1D"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100</w:t>
            </w:r>
          </w:p>
        </w:tc>
        <w:tc>
          <w:tcPr>
            <w:tcW w:w="1232" w:type="pct"/>
            <w:noWrap/>
            <w:hideMark/>
          </w:tcPr>
          <w:p w14:paraId="025E390C"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xml:space="preserve"> $ 44,819.12 </w:t>
            </w:r>
          </w:p>
        </w:tc>
      </w:tr>
      <w:tr w:rsidR="008513E9" w:rsidRPr="007C2077" w14:paraId="18303A87" w14:textId="77777777" w:rsidTr="002E2B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0940E895" w14:textId="77777777" w:rsidR="007C2077" w:rsidRPr="008513E9" w:rsidRDefault="007C2077" w:rsidP="007C2077">
            <w:pPr>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Chile</w:t>
            </w:r>
          </w:p>
        </w:tc>
        <w:tc>
          <w:tcPr>
            <w:tcW w:w="614" w:type="pct"/>
            <w:noWrap/>
            <w:hideMark/>
          </w:tcPr>
          <w:p w14:paraId="1A2764E3"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0.4</w:t>
            </w:r>
          </w:p>
        </w:tc>
        <w:tc>
          <w:tcPr>
            <w:tcW w:w="531" w:type="pct"/>
            <w:noWrap/>
            <w:hideMark/>
          </w:tcPr>
          <w:p w14:paraId="74561A40"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35.8</w:t>
            </w:r>
          </w:p>
        </w:tc>
        <w:tc>
          <w:tcPr>
            <w:tcW w:w="514" w:type="pct"/>
            <w:noWrap/>
            <w:hideMark/>
          </w:tcPr>
          <w:p w14:paraId="2639F586"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46.4</w:t>
            </w:r>
          </w:p>
        </w:tc>
        <w:tc>
          <w:tcPr>
            <w:tcW w:w="403" w:type="pct"/>
            <w:noWrap/>
            <w:hideMark/>
          </w:tcPr>
          <w:p w14:paraId="188CDB4A"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17.7</w:t>
            </w:r>
          </w:p>
        </w:tc>
        <w:tc>
          <w:tcPr>
            <w:tcW w:w="510" w:type="pct"/>
            <w:noWrap/>
            <w:hideMark/>
          </w:tcPr>
          <w:p w14:paraId="6EC575E7"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100</w:t>
            </w:r>
          </w:p>
        </w:tc>
        <w:tc>
          <w:tcPr>
            <w:tcW w:w="1232" w:type="pct"/>
            <w:noWrap/>
            <w:hideMark/>
          </w:tcPr>
          <w:p w14:paraId="28491ED3"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xml:space="preserve"> $ 22,760.70 </w:t>
            </w:r>
          </w:p>
        </w:tc>
      </w:tr>
      <w:tr w:rsidR="008513E9" w:rsidRPr="007C2077" w14:paraId="61CFA2B5" w14:textId="77777777" w:rsidTr="002E2BCF">
        <w:trPr>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0D421786" w14:textId="77777777" w:rsidR="007C2077" w:rsidRPr="008513E9" w:rsidRDefault="007C2077" w:rsidP="007C2077">
            <w:pPr>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Finlandia</w:t>
            </w:r>
          </w:p>
        </w:tc>
        <w:tc>
          <w:tcPr>
            <w:tcW w:w="614" w:type="pct"/>
            <w:noWrap/>
            <w:hideMark/>
          </w:tcPr>
          <w:p w14:paraId="3B8D3849"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2.7</w:t>
            </w:r>
          </w:p>
        </w:tc>
        <w:tc>
          <w:tcPr>
            <w:tcW w:w="531" w:type="pct"/>
            <w:noWrap/>
            <w:hideMark/>
          </w:tcPr>
          <w:p w14:paraId="33B522BC"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57.0</w:t>
            </w:r>
          </w:p>
        </w:tc>
        <w:tc>
          <w:tcPr>
            <w:tcW w:w="514" w:type="pct"/>
            <w:noWrap/>
            <w:hideMark/>
          </w:tcPr>
          <w:p w14:paraId="47025472"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28.9</w:t>
            </w:r>
          </w:p>
        </w:tc>
        <w:tc>
          <w:tcPr>
            <w:tcW w:w="403" w:type="pct"/>
            <w:noWrap/>
            <w:hideMark/>
          </w:tcPr>
          <w:p w14:paraId="3F6E8490"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14.1</w:t>
            </w:r>
          </w:p>
        </w:tc>
        <w:tc>
          <w:tcPr>
            <w:tcW w:w="510" w:type="pct"/>
            <w:noWrap/>
            <w:hideMark/>
          </w:tcPr>
          <w:p w14:paraId="0DE0586A"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100</w:t>
            </w:r>
          </w:p>
        </w:tc>
        <w:tc>
          <w:tcPr>
            <w:tcW w:w="1232" w:type="pct"/>
            <w:noWrap/>
            <w:hideMark/>
          </w:tcPr>
          <w:p w14:paraId="72AC94A6"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xml:space="preserve"> $ 43,729.99 </w:t>
            </w:r>
          </w:p>
        </w:tc>
      </w:tr>
      <w:tr w:rsidR="008513E9" w:rsidRPr="007C2077" w14:paraId="150DFBAA" w14:textId="77777777" w:rsidTr="002E2B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75A1E413" w14:textId="77777777" w:rsidR="007C2077" w:rsidRPr="008513E9" w:rsidRDefault="007C2077" w:rsidP="007C2077">
            <w:pPr>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Alemania</w:t>
            </w:r>
          </w:p>
        </w:tc>
        <w:tc>
          <w:tcPr>
            <w:tcW w:w="614" w:type="pct"/>
            <w:noWrap/>
            <w:hideMark/>
          </w:tcPr>
          <w:p w14:paraId="5EB7A370"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2.9</w:t>
            </w:r>
          </w:p>
        </w:tc>
        <w:tc>
          <w:tcPr>
            <w:tcW w:w="531" w:type="pct"/>
            <w:noWrap/>
            <w:hideMark/>
          </w:tcPr>
          <w:p w14:paraId="4605E750"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65.2</w:t>
            </w:r>
          </w:p>
        </w:tc>
        <w:tc>
          <w:tcPr>
            <w:tcW w:w="514" w:type="pct"/>
            <w:noWrap/>
            <w:hideMark/>
          </w:tcPr>
          <w:p w14:paraId="6B87C9EB"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28.5</w:t>
            </w:r>
          </w:p>
        </w:tc>
        <w:tc>
          <w:tcPr>
            <w:tcW w:w="403" w:type="pct"/>
            <w:noWrap/>
            <w:hideMark/>
          </w:tcPr>
          <w:p w14:paraId="535A1EC0"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6.3</w:t>
            </w:r>
          </w:p>
        </w:tc>
        <w:tc>
          <w:tcPr>
            <w:tcW w:w="510" w:type="pct"/>
            <w:noWrap/>
            <w:hideMark/>
          </w:tcPr>
          <w:p w14:paraId="435A989F"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100</w:t>
            </w:r>
          </w:p>
        </w:tc>
        <w:tc>
          <w:tcPr>
            <w:tcW w:w="1232" w:type="pct"/>
            <w:noWrap/>
            <w:hideMark/>
          </w:tcPr>
          <w:p w14:paraId="059DE2AF"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xml:space="preserve"> $ 49,921.11 </w:t>
            </w:r>
          </w:p>
        </w:tc>
      </w:tr>
      <w:tr w:rsidR="008513E9" w:rsidRPr="007C2077" w14:paraId="112CBA55" w14:textId="77777777" w:rsidTr="002E2BCF">
        <w:trPr>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547C630D" w14:textId="77777777" w:rsidR="007C2077" w:rsidRPr="008513E9" w:rsidRDefault="007C2077" w:rsidP="007C2077">
            <w:pPr>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Islandia</w:t>
            </w:r>
          </w:p>
        </w:tc>
        <w:tc>
          <w:tcPr>
            <w:tcW w:w="614" w:type="pct"/>
            <w:noWrap/>
            <w:hideMark/>
          </w:tcPr>
          <w:p w14:paraId="42F0CFB3"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2.0</w:t>
            </w:r>
          </w:p>
        </w:tc>
        <w:tc>
          <w:tcPr>
            <w:tcW w:w="531" w:type="pct"/>
            <w:noWrap/>
            <w:hideMark/>
          </w:tcPr>
          <w:p w14:paraId="2B5CE809"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35.0</w:t>
            </w:r>
          </w:p>
        </w:tc>
        <w:tc>
          <w:tcPr>
            <w:tcW w:w="514" w:type="pct"/>
            <w:noWrap/>
            <w:hideMark/>
          </w:tcPr>
          <w:p w14:paraId="263E6B3A"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34.2</w:t>
            </w:r>
          </w:p>
        </w:tc>
        <w:tc>
          <w:tcPr>
            <w:tcW w:w="403" w:type="pct"/>
            <w:noWrap/>
            <w:hideMark/>
          </w:tcPr>
          <w:p w14:paraId="43A44E43"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30.8</w:t>
            </w:r>
          </w:p>
        </w:tc>
        <w:tc>
          <w:tcPr>
            <w:tcW w:w="510" w:type="pct"/>
            <w:noWrap/>
            <w:hideMark/>
          </w:tcPr>
          <w:p w14:paraId="115B310A"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100</w:t>
            </w:r>
          </w:p>
        </w:tc>
        <w:tc>
          <w:tcPr>
            <w:tcW w:w="1232" w:type="pct"/>
            <w:noWrap/>
            <w:hideMark/>
          </w:tcPr>
          <w:p w14:paraId="72751828"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xml:space="preserve"> $ 52,589.98 </w:t>
            </w:r>
          </w:p>
        </w:tc>
      </w:tr>
      <w:tr w:rsidR="008513E9" w:rsidRPr="007C2077" w14:paraId="2DFBA754" w14:textId="77777777" w:rsidTr="002E2B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7BF515D5" w14:textId="77777777" w:rsidR="007C2077" w:rsidRPr="008513E9" w:rsidRDefault="007C2077" w:rsidP="007C2077">
            <w:pPr>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Irlanda</w:t>
            </w:r>
          </w:p>
        </w:tc>
        <w:tc>
          <w:tcPr>
            <w:tcW w:w="614" w:type="pct"/>
            <w:noWrap/>
            <w:hideMark/>
          </w:tcPr>
          <w:p w14:paraId="04538D1C"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1.2</w:t>
            </w:r>
          </w:p>
        </w:tc>
        <w:tc>
          <w:tcPr>
            <w:tcW w:w="531" w:type="pct"/>
            <w:noWrap/>
            <w:hideMark/>
          </w:tcPr>
          <w:p w14:paraId="1459210C"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49.0</w:t>
            </w:r>
          </w:p>
        </w:tc>
        <w:tc>
          <w:tcPr>
            <w:tcW w:w="514" w:type="pct"/>
            <w:noWrap/>
            <w:hideMark/>
          </w:tcPr>
          <w:p w14:paraId="3A5593D7"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25.8</w:t>
            </w:r>
          </w:p>
        </w:tc>
        <w:tc>
          <w:tcPr>
            <w:tcW w:w="403" w:type="pct"/>
            <w:noWrap/>
            <w:hideMark/>
          </w:tcPr>
          <w:p w14:paraId="001567B7"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25.2</w:t>
            </w:r>
          </w:p>
        </w:tc>
        <w:tc>
          <w:tcPr>
            <w:tcW w:w="510" w:type="pct"/>
            <w:noWrap/>
            <w:hideMark/>
          </w:tcPr>
          <w:p w14:paraId="50388B55"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100</w:t>
            </w:r>
          </w:p>
        </w:tc>
        <w:tc>
          <w:tcPr>
            <w:tcW w:w="1232" w:type="pct"/>
            <w:noWrap/>
            <w:hideMark/>
          </w:tcPr>
          <w:p w14:paraId="24460A08"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xml:space="preserve"> $ 71,020.56 </w:t>
            </w:r>
          </w:p>
        </w:tc>
      </w:tr>
      <w:tr w:rsidR="008513E9" w:rsidRPr="007C2077" w14:paraId="18855E74" w14:textId="77777777" w:rsidTr="002E2BCF">
        <w:trPr>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2A4F13DD" w14:textId="77777777" w:rsidR="007C2077" w:rsidRPr="008513E9" w:rsidRDefault="007C2077" w:rsidP="007C2077">
            <w:pPr>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Israel</w:t>
            </w:r>
          </w:p>
        </w:tc>
        <w:tc>
          <w:tcPr>
            <w:tcW w:w="614" w:type="pct"/>
            <w:noWrap/>
            <w:hideMark/>
          </w:tcPr>
          <w:p w14:paraId="36B9D0AA"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4.4</w:t>
            </w:r>
          </w:p>
        </w:tc>
        <w:tc>
          <w:tcPr>
            <w:tcW w:w="531" w:type="pct"/>
            <w:noWrap/>
            <w:hideMark/>
          </w:tcPr>
          <w:p w14:paraId="1186D943"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34.7</w:t>
            </w:r>
          </w:p>
        </w:tc>
        <w:tc>
          <w:tcPr>
            <w:tcW w:w="514" w:type="pct"/>
            <w:noWrap/>
            <w:hideMark/>
          </w:tcPr>
          <w:p w14:paraId="7D498819"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13.6</w:t>
            </w:r>
          </w:p>
        </w:tc>
        <w:tc>
          <w:tcPr>
            <w:tcW w:w="403" w:type="pct"/>
            <w:noWrap/>
            <w:hideMark/>
          </w:tcPr>
          <w:p w14:paraId="08F72018"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51.7</w:t>
            </w:r>
          </w:p>
        </w:tc>
        <w:tc>
          <w:tcPr>
            <w:tcW w:w="510" w:type="pct"/>
            <w:noWrap/>
            <w:hideMark/>
          </w:tcPr>
          <w:p w14:paraId="0B96F9AF"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100</w:t>
            </w:r>
          </w:p>
        </w:tc>
        <w:tc>
          <w:tcPr>
            <w:tcW w:w="1232" w:type="pct"/>
            <w:noWrap/>
            <w:hideMark/>
          </w:tcPr>
          <w:p w14:paraId="39F5748F"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xml:space="preserve"> $ 37,524.90 </w:t>
            </w:r>
          </w:p>
        </w:tc>
      </w:tr>
      <w:tr w:rsidR="008513E9" w:rsidRPr="007C2077" w14:paraId="6B883673" w14:textId="77777777" w:rsidTr="002E2B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4F854D13" w14:textId="77777777" w:rsidR="007C2077" w:rsidRPr="008513E9" w:rsidRDefault="007C2077" w:rsidP="007C2077">
            <w:pPr>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Japón</w:t>
            </w:r>
          </w:p>
        </w:tc>
        <w:tc>
          <w:tcPr>
            <w:tcW w:w="614" w:type="pct"/>
            <w:noWrap/>
            <w:hideMark/>
          </w:tcPr>
          <w:p w14:paraId="47EAAFF0"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3.1</w:t>
            </w:r>
          </w:p>
        </w:tc>
        <w:tc>
          <w:tcPr>
            <w:tcW w:w="531" w:type="pct"/>
            <w:noWrap/>
            <w:hideMark/>
          </w:tcPr>
          <w:p w14:paraId="116C6275"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78.1</w:t>
            </w:r>
          </w:p>
        </w:tc>
        <w:tc>
          <w:tcPr>
            <w:tcW w:w="514" w:type="pct"/>
            <w:noWrap/>
            <w:hideMark/>
          </w:tcPr>
          <w:p w14:paraId="0609D4EF"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15.0</w:t>
            </w:r>
          </w:p>
        </w:tc>
        <w:tc>
          <w:tcPr>
            <w:tcW w:w="403" w:type="pct"/>
            <w:noWrap/>
            <w:hideMark/>
          </w:tcPr>
          <w:p w14:paraId="423A91AB"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6.9</w:t>
            </w:r>
          </w:p>
        </w:tc>
        <w:tc>
          <w:tcPr>
            <w:tcW w:w="510" w:type="pct"/>
            <w:noWrap/>
            <w:hideMark/>
          </w:tcPr>
          <w:p w14:paraId="5BF3137A"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100</w:t>
            </w:r>
          </w:p>
        </w:tc>
        <w:tc>
          <w:tcPr>
            <w:tcW w:w="1232" w:type="pct"/>
            <w:noWrap/>
            <w:hideMark/>
          </w:tcPr>
          <w:p w14:paraId="173F1EAB"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xml:space="preserve"> $ 41,317.98 </w:t>
            </w:r>
          </w:p>
        </w:tc>
      </w:tr>
      <w:tr w:rsidR="008513E9" w:rsidRPr="007C2077" w14:paraId="7ED61C3B" w14:textId="77777777" w:rsidTr="002E2BCF">
        <w:trPr>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639DB9AF" w14:textId="77777777" w:rsidR="007C2077" w:rsidRPr="008513E9" w:rsidRDefault="007C2077" w:rsidP="007C2077">
            <w:pPr>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Corea del Sur</w:t>
            </w:r>
          </w:p>
        </w:tc>
        <w:tc>
          <w:tcPr>
            <w:tcW w:w="614" w:type="pct"/>
            <w:noWrap/>
            <w:hideMark/>
          </w:tcPr>
          <w:p w14:paraId="34E95B99"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4.2</w:t>
            </w:r>
          </w:p>
        </w:tc>
        <w:tc>
          <w:tcPr>
            <w:tcW w:w="531" w:type="pct"/>
            <w:noWrap/>
            <w:hideMark/>
          </w:tcPr>
          <w:p w14:paraId="776BBB12"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75.4</w:t>
            </w:r>
          </w:p>
        </w:tc>
        <w:tc>
          <w:tcPr>
            <w:tcW w:w="514" w:type="pct"/>
            <w:noWrap/>
            <w:hideMark/>
          </w:tcPr>
          <w:p w14:paraId="7AF48E1B"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22.7</w:t>
            </w:r>
          </w:p>
        </w:tc>
        <w:tc>
          <w:tcPr>
            <w:tcW w:w="403" w:type="pct"/>
            <w:noWrap/>
            <w:hideMark/>
          </w:tcPr>
          <w:p w14:paraId="12FCA9A8"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1.9</w:t>
            </w:r>
          </w:p>
        </w:tc>
        <w:tc>
          <w:tcPr>
            <w:tcW w:w="510" w:type="pct"/>
            <w:noWrap/>
            <w:hideMark/>
          </w:tcPr>
          <w:p w14:paraId="020551A6"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100</w:t>
            </w:r>
          </w:p>
        </w:tc>
        <w:tc>
          <w:tcPr>
            <w:tcW w:w="1232" w:type="pct"/>
            <w:noWrap/>
            <w:hideMark/>
          </w:tcPr>
          <w:p w14:paraId="211A08F3"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xml:space="preserve"> $ 37,142.62 </w:t>
            </w:r>
          </w:p>
        </w:tc>
      </w:tr>
      <w:tr w:rsidR="008513E9" w:rsidRPr="007C2077" w14:paraId="7ABCE89A" w14:textId="77777777" w:rsidTr="002E2B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7705FEFD" w14:textId="77777777" w:rsidR="007C2077" w:rsidRPr="008513E9" w:rsidRDefault="007C2077" w:rsidP="007C2077">
            <w:pPr>
              <w:rPr>
                <w:rFonts w:ascii="Times New Roman" w:eastAsia="Times New Roman" w:hAnsi="Times New Roman" w:cs="Times New Roman"/>
                <w:b w:val="0"/>
                <w:bCs w:val="0"/>
                <w:color w:val="000000"/>
                <w:sz w:val="20"/>
                <w:szCs w:val="20"/>
                <w:lang w:val="es-MX" w:eastAsia="es-MX"/>
              </w:rPr>
            </w:pPr>
            <w:r w:rsidRPr="008513E9">
              <w:rPr>
                <w:rFonts w:ascii="Times New Roman" w:eastAsia="Times New Roman" w:hAnsi="Times New Roman" w:cs="Times New Roman"/>
                <w:b w:val="0"/>
                <w:bCs w:val="0"/>
                <w:color w:val="000000"/>
                <w:sz w:val="20"/>
                <w:szCs w:val="20"/>
                <w:lang w:val="es-MX" w:eastAsia="es-MX"/>
              </w:rPr>
              <w:t>México</w:t>
            </w:r>
          </w:p>
        </w:tc>
        <w:tc>
          <w:tcPr>
            <w:tcW w:w="614" w:type="pct"/>
            <w:noWrap/>
            <w:hideMark/>
          </w:tcPr>
          <w:p w14:paraId="3C141DFB"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0.5</w:t>
            </w:r>
          </w:p>
        </w:tc>
        <w:tc>
          <w:tcPr>
            <w:tcW w:w="531" w:type="pct"/>
            <w:noWrap/>
            <w:hideMark/>
          </w:tcPr>
          <w:p w14:paraId="6ACEF994"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20.7</w:t>
            </w:r>
          </w:p>
        </w:tc>
        <w:tc>
          <w:tcPr>
            <w:tcW w:w="514" w:type="pct"/>
            <w:noWrap/>
            <w:hideMark/>
          </w:tcPr>
          <w:p w14:paraId="214982FA"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67.4</w:t>
            </w:r>
          </w:p>
        </w:tc>
        <w:tc>
          <w:tcPr>
            <w:tcW w:w="403" w:type="pct"/>
            <w:noWrap/>
            <w:hideMark/>
          </w:tcPr>
          <w:p w14:paraId="1C326CFE"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12.0</w:t>
            </w:r>
          </w:p>
        </w:tc>
        <w:tc>
          <w:tcPr>
            <w:tcW w:w="510" w:type="pct"/>
            <w:noWrap/>
            <w:hideMark/>
          </w:tcPr>
          <w:p w14:paraId="558BFA47"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100</w:t>
            </w:r>
          </w:p>
        </w:tc>
        <w:tc>
          <w:tcPr>
            <w:tcW w:w="1232" w:type="pct"/>
            <w:noWrap/>
            <w:hideMark/>
          </w:tcPr>
          <w:p w14:paraId="760D63DC"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 xml:space="preserve"> $ 18,944.72 </w:t>
            </w:r>
          </w:p>
        </w:tc>
      </w:tr>
      <w:tr w:rsidR="008513E9" w:rsidRPr="007C2077" w14:paraId="3E42CF4B" w14:textId="77777777" w:rsidTr="002E2BCF">
        <w:trPr>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3C345B8C" w14:textId="77777777" w:rsidR="007C2077" w:rsidRPr="008513E9" w:rsidRDefault="007C2077" w:rsidP="007C2077">
            <w:pPr>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España</w:t>
            </w:r>
          </w:p>
        </w:tc>
        <w:tc>
          <w:tcPr>
            <w:tcW w:w="614" w:type="pct"/>
            <w:noWrap/>
            <w:hideMark/>
          </w:tcPr>
          <w:p w14:paraId="3FA8F096"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1.2</w:t>
            </w:r>
          </w:p>
        </w:tc>
        <w:tc>
          <w:tcPr>
            <w:tcW w:w="531" w:type="pct"/>
            <w:noWrap/>
            <w:hideMark/>
          </w:tcPr>
          <w:p w14:paraId="4F228574"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46.7</w:t>
            </w:r>
          </w:p>
        </w:tc>
        <w:tc>
          <w:tcPr>
            <w:tcW w:w="514" w:type="pct"/>
            <w:noWrap/>
            <w:hideMark/>
          </w:tcPr>
          <w:p w14:paraId="7A66A09C"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40.0</w:t>
            </w:r>
          </w:p>
        </w:tc>
        <w:tc>
          <w:tcPr>
            <w:tcW w:w="403" w:type="pct"/>
            <w:noWrap/>
            <w:hideMark/>
          </w:tcPr>
          <w:p w14:paraId="4E2C68F9"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13.3</w:t>
            </w:r>
          </w:p>
        </w:tc>
        <w:tc>
          <w:tcPr>
            <w:tcW w:w="510" w:type="pct"/>
            <w:noWrap/>
            <w:hideMark/>
          </w:tcPr>
          <w:p w14:paraId="18C3EC4E"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100</w:t>
            </w:r>
          </w:p>
        </w:tc>
        <w:tc>
          <w:tcPr>
            <w:tcW w:w="1232" w:type="pct"/>
            <w:noWrap/>
            <w:hideMark/>
          </w:tcPr>
          <w:p w14:paraId="2F4D29A1"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xml:space="preserve"> $ 36,742.41 </w:t>
            </w:r>
          </w:p>
        </w:tc>
      </w:tr>
      <w:tr w:rsidR="008513E9" w:rsidRPr="007C2077" w14:paraId="7513FF84" w14:textId="77777777" w:rsidTr="002E2B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241746DD" w14:textId="77777777" w:rsidR="007C2077" w:rsidRPr="008513E9" w:rsidRDefault="007C2077" w:rsidP="007C2077">
            <w:pPr>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Reino Unido</w:t>
            </w:r>
          </w:p>
        </w:tc>
        <w:tc>
          <w:tcPr>
            <w:tcW w:w="614" w:type="pct"/>
            <w:noWrap/>
            <w:hideMark/>
          </w:tcPr>
          <w:p w14:paraId="2C06653A"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1.7</w:t>
            </w:r>
          </w:p>
        </w:tc>
        <w:tc>
          <w:tcPr>
            <w:tcW w:w="531" w:type="pct"/>
            <w:noWrap/>
            <w:hideMark/>
          </w:tcPr>
          <w:p w14:paraId="0C662CDA"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51.8</w:t>
            </w:r>
          </w:p>
        </w:tc>
        <w:tc>
          <w:tcPr>
            <w:tcW w:w="514" w:type="pct"/>
            <w:noWrap/>
            <w:hideMark/>
          </w:tcPr>
          <w:p w14:paraId="46D36550"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26.3</w:t>
            </w:r>
          </w:p>
        </w:tc>
        <w:tc>
          <w:tcPr>
            <w:tcW w:w="403" w:type="pct"/>
            <w:noWrap/>
            <w:hideMark/>
          </w:tcPr>
          <w:p w14:paraId="36E277CB"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22.0</w:t>
            </w:r>
          </w:p>
        </w:tc>
        <w:tc>
          <w:tcPr>
            <w:tcW w:w="510" w:type="pct"/>
            <w:noWrap/>
            <w:hideMark/>
          </w:tcPr>
          <w:p w14:paraId="291A7666"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100</w:t>
            </w:r>
          </w:p>
        </w:tc>
        <w:tc>
          <w:tcPr>
            <w:tcW w:w="1232" w:type="pct"/>
            <w:noWrap/>
            <w:hideMark/>
          </w:tcPr>
          <w:p w14:paraId="773CDDC0"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xml:space="preserve"> $ 42,942.90 </w:t>
            </w:r>
          </w:p>
        </w:tc>
      </w:tr>
      <w:tr w:rsidR="008513E9" w:rsidRPr="007C2077" w14:paraId="667D8E9A" w14:textId="77777777" w:rsidTr="002E2BCF">
        <w:trPr>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1B3E5308" w14:textId="77777777" w:rsidR="007C2077" w:rsidRPr="008513E9" w:rsidRDefault="007C2077" w:rsidP="007C2077">
            <w:pPr>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EUA</w:t>
            </w:r>
          </w:p>
        </w:tc>
        <w:tc>
          <w:tcPr>
            <w:tcW w:w="614" w:type="pct"/>
            <w:noWrap/>
            <w:hideMark/>
          </w:tcPr>
          <w:p w14:paraId="410418EC"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2.8</w:t>
            </w:r>
          </w:p>
        </w:tc>
        <w:tc>
          <w:tcPr>
            <w:tcW w:w="531" w:type="pct"/>
            <w:noWrap/>
            <w:hideMark/>
          </w:tcPr>
          <w:p w14:paraId="553CE65B"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63.2</w:t>
            </w:r>
          </w:p>
        </w:tc>
        <w:tc>
          <w:tcPr>
            <w:tcW w:w="514" w:type="pct"/>
            <w:noWrap/>
            <w:hideMark/>
          </w:tcPr>
          <w:p w14:paraId="1C5E1BFC"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23.6</w:t>
            </w:r>
          </w:p>
        </w:tc>
        <w:tc>
          <w:tcPr>
            <w:tcW w:w="403" w:type="pct"/>
            <w:noWrap/>
            <w:hideMark/>
          </w:tcPr>
          <w:p w14:paraId="61644DBD"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13.2</w:t>
            </w:r>
          </w:p>
        </w:tc>
        <w:tc>
          <w:tcPr>
            <w:tcW w:w="510" w:type="pct"/>
            <w:noWrap/>
            <w:hideMark/>
          </w:tcPr>
          <w:p w14:paraId="60073888"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100</w:t>
            </w:r>
          </w:p>
        </w:tc>
        <w:tc>
          <w:tcPr>
            <w:tcW w:w="1232" w:type="pct"/>
            <w:noWrap/>
            <w:hideMark/>
          </w:tcPr>
          <w:p w14:paraId="10109054"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xml:space="preserve"> $ 57,797.46 </w:t>
            </w:r>
          </w:p>
        </w:tc>
      </w:tr>
      <w:tr w:rsidR="008513E9" w:rsidRPr="007C2077" w14:paraId="67C928B1" w14:textId="77777777" w:rsidTr="002E2B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79D48A99" w14:textId="77777777" w:rsidR="007C2077" w:rsidRPr="008513E9" w:rsidRDefault="007C2077" w:rsidP="007C2077">
            <w:pPr>
              <w:rPr>
                <w:rFonts w:ascii="Times New Roman" w:eastAsia="Times New Roman" w:hAnsi="Times New Roman" w:cs="Times New Roman"/>
                <w:b w:val="0"/>
                <w:bCs w:val="0"/>
                <w:color w:val="000000"/>
                <w:sz w:val="20"/>
                <w:szCs w:val="20"/>
                <w:lang w:val="es-MX" w:eastAsia="es-MX"/>
              </w:rPr>
            </w:pPr>
            <w:r w:rsidRPr="008513E9">
              <w:rPr>
                <w:rFonts w:ascii="Times New Roman" w:eastAsia="Times New Roman" w:hAnsi="Times New Roman" w:cs="Times New Roman"/>
                <w:b w:val="0"/>
                <w:bCs w:val="0"/>
                <w:color w:val="000000"/>
                <w:sz w:val="20"/>
                <w:szCs w:val="20"/>
                <w:lang w:val="es-MX" w:eastAsia="es-MX"/>
              </w:rPr>
              <w:t>OECD (Promedio)</w:t>
            </w:r>
          </w:p>
        </w:tc>
        <w:tc>
          <w:tcPr>
            <w:tcW w:w="614" w:type="pct"/>
            <w:noWrap/>
            <w:hideMark/>
          </w:tcPr>
          <w:p w14:paraId="69D61BEC"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2.3</w:t>
            </w:r>
          </w:p>
        </w:tc>
        <w:tc>
          <w:tcPr>
            <w:tcW w:w="531" w:type="pct"/>
            <w:noWrap/>
            <w:hideMark/>
          </w:tcPr>
          <w:p w14:paraId="55FA0ED1"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62.1</w:t>
            </w:r>
          </w:p>
        </w:tc>
        <w:tc>
          <w:tcPr>
            <w:tcW w:w="514" w:type="pct"/>
            <w:noWrap/>
            <w:hideMark/>
          </w:tcPr>
          <w:p w14:paraId="751738D8"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25.8</w:t>
            </w:r>
          </w:p>
        </w:tc>
        <w:tc>
          <w:tcPr>
            <w:tcW w:w="403" w:type="pct"/>
            <w:noWrap/>
            <w:hideMark/>
          </w:tcPr>
          <w:p w14:paraId="16ECBD45"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12.1</w:t>
            </w:r>
          </w:p>
        </w:tc>
        <w:tc>
          <w:tcPr>
            <w:tcW w:w="510" w:type="pct"/>
            <w:noWrap/>
            <w:hideMark/>
          </w:tcPr>
          <w:p w14:paraId="1325AADB"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100</w:t>
            </w:r>
          </w:p>
        </w:tc>
        <w:tc>
          <w:tcPr>
            <w:tcW w:w="1232" w:type="pct"/>
            <w:noWrap/>
            <w:hideMark/>
          </w:tcPr>
          <w:p w14:paraId="27183C2C"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 xml:space="preserve"> $ 42,483.52 </w:t>
            </w:r>
          </w:p>
        </w:tc>
      </w:tr>
      <w:tr w:rsidR="008513E9" w:rsidRPr="007C2077" w14:paraId="34CA8B49" w14:textId="77777777" w:rsidTr="002E2BCF">
        <w:trPr>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2B2AFDCC" w14:textId="77777777" w:rsidR="007C2077" w:rsidRPr="008513E9" w:rsidRDefault="007C2077" w:rsidP="007C2077">
            <w:pPr>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lastRenderedPageBreak/>
              <w:t>Argentina</w:t>
            </w:r>
          </w:p>
        </w:tc>
        <w:tc>
          <w:tcPr>
            <w:tcW w:w="614" w:type="pct"/>
            <w:noWrap/>
            <w:hideMark/>
          </w:tcPr>
          <w:p w14:paraId="2B573960"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0.5</w:t>
            </w:r>
          </w:p>
        </w:tc>
        <w:tc>
          <w:tcPr>
            <w:tcW w:w="531" w:type="pct"/>
            <w:noWrap/>
            <w:hideMark/>
          </w:tcPr>
          <w:p w14:paraId="4C40EF8A"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18.2</w:t>
            </w:r>
          </w:p>
        </w:tc>
        <w:tc>
          <w:tcPr>
            <w:tcW w:w="514" w:type="pct"/>
            <w:noWrap/>
            <w:hideMark/>
          </w:tcPr>
          <w:p w14:paraId="72326EE6"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73.1</w:t>
            </w:r>
          </w:p>
        </w:tc>
        <w:tc>
          <w:tcPr>
            <w:tcW w:w="403" w:type="pct"/>
            <w:noWrap/>
            <w:hideMark/>
          </w:tcPr>
          <w:p w14:paraId="13D571BB"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8.7</w:t>
            </w:r>
          </w:p>
        </w:tc>
        <w:tc>
          <w:tcPr>
            <w:tcW w:w="510" w:type="pct"/>
            <w:noWrap/>
            <w:hideMark/>
          </w:tcPr>
          <w:p w14:paraId="7E78D64A"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100</w:t>
            </w:r>
          </w:p>
        </w:tc>
        <w:tc>
          <w:tcPr>
            <w:tcW w:w="1232" w:type="pct"/>
            <w:noWrap/>
            <w:hideMark/>
          </w:tcPr>
          <w:p w14:paraId="7CC1E065"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xml:space="preserve"> $ 20,160.73 </w:t>
            </w:r>
          </w:p>
        </w:tc>
      </w:tr>
      <w:tr w:rsidR="008513E9" w:rsidRPr="007C2077" w14:paraId="302984CD" w14:textId="77777777" w:rsidTr="002E2B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594E4E74" w14:textId="77777777" w:rsidR="007C2077" w:rsidRPr="008513E9" w:rsidRDefault="007C2077" w:rsidP="007C2077">
            <w:pPr>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China</w:t>
            </w:r>
          </w:p>
        </w:tc>
        <w:tc>
          <w:tcPr>
            <w:tcW w:w="614" w:type="pct"/>
            <w:noWrap/>
            <w:hideMark/>
          </w:tcPr>
          <w:p w14:paraId="2C24974D"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2.1</w:t>
            </w:r>
          </w:p>
        </w:tc>
        <w:tc>
          <w:tcPr>
            <w:tcW w:w="531" w:type="pct"/>
            <w:noWrap/>
            <w:hideMark/>
          </w:tcPr>
          <w:p w14:paraId="12CD32AD"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76.1</w:t>
            </w:r>
          </w:p>
        </w:tc>
        <w:tc>
          <w:tcPr>
            <w:tcW w:w="514" w:type="pct"/>
            <w:noWrap/>
            <w:hideMark/>
          </w:tcPr>
          <w:p w14:paraId="651DD82F"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20.0</w:t>
            </w:r>
          </w:p>
        </w:tc>
        <w:tc>
          <w:tcPr>
            <w:tcW w:w="403" w:type="pct"/>
            <w:noWrap/>
            <w:hideMark/>
          </w:tcPr>
          <w:p w14:paraId="44FB6BE6"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w:t>
            </w:r>
          </w:p>
        </w:tc>
        <w:tc>
          <w:tcPr>
            <w:tcW w:w="510" w:type="pct"/>
            <w:noWrap/>
            <w:hideMark/>
          </w:tcPr>
          <w:p w14:paraId="7C6734D0"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100</w:t>
            </w:r>
          </w:p>
        </w:tc>
        <w:tc>
          <w:tcPr>
            <w:tcW w:w="1232" w:type="pct"/>
            <w:noWrap/>
            <w:hideMark/>
          </w:tcPr>
          <w:p w14:paraId="1E61FCBC"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xml:space="preserve"> $ 15,485.20 </w:t>
            </w:r>
          </w:p>
        </w:tc>
      </w:tr>
      <w:tr w:rsidR="008513E9" w:rsidRPr="007C2077" w14:paraId="66106C6C" w14:textId="77777777" w:rsidTr="002E2BCF">
        <w:trPr>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43D87168" w14:textId="77777777" w:rsidR="007C2077" w:rsidRPr="008513E9" w:rsidRDefault="007C2077" w:rsidP="007C2077">
            <w:pPr>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Rusia</w:t>
            </w:r>
          </w:p>
        </w:tc>
        <w:tc>
          <w:tcPr>
            <w:tcW w:w="614" w:type="pct"/>
            <w:noWrap/>
            <w:hideMark/>
          </w:tcPr>
          <w:p w14:paraId="618380D1"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1.1</w:t>
            </w:r>
          </w:p>
        </w:tc>
        <w:tc>
          <w:tcPr>
            <w:tcW w:w="531" w:type="pct"/>
            <w:noWrap/>
            <w:hideMark/>
          </w:tcPr>
          <w:p w14:paraId="0CF1AA32"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28.1</w:t>
            </w:r>
          </w:p>
        </w:tc>
        <w:tc>
          <w:tcPr>
            <w:tcW w:w="514" w:type="pct"/>
            <w:noWrap/>
            <w:hideMark/>
          </w:tcPr>
          <w:p w14:paraId="2E1AF298"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68.2</w:t>
            </w:r>
          </w:p>
        </w:tc>
        <w:tc>
          <w:tcPr>
            <w:tcW w:w="403" w:type="pct"/>
            <w:noWrap/>
            <w:hideMark/>
          </w:tcPr>
          <w:p w14:paraId="5AD96E0F"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3.7</w:t>
            </w:r>
          </w:p>
        </w:tc>
        <w:tc>
          <w:tcPr>
            <w:tcW w:w="510" w:type="pct"/>
            <w:noWrap/>
            <w:hideMark/>
          </w:tcPr>
          <w:p w14:paraId="6260222B"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100</w:t>
            </w:r>
          </w:p>
        </w:tc>
        <w:tc>
          <w:tcPr>
            <w:tcW w:w="1232" w:type="pct"/>
            <w:noWrap/>
            <w:hideMark/>
          </w:tcPr>
          <w:p w14:paraId="1D0BBAF8"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xml:space="preserve"> $ 24,080.52 </w:t>
            </w:r>
          </w:p>
        </w:tc>
      </w:tr>
      <w:tr w:rsidR="008513E9" w:rsidRPr="007C2077" w14:paraId="7854BBEF" w14:textId="77777777" w:rsidTr="002E2B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1F1C4B25" w14:textId="77777777" w:rsidR="007C2077" w:rsidRPr="008513E9" w:rsidRDefault="007C2077" w:rsidP="007C2077">
            <w:pPr>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Brasil</w:t>
            </w:r>
          </w:p>
        </w:tc>
        <w:tc>
          <w:tcPr>
            <w:tcW w:w="614" w:type="pct"/>
            <w:noWrap/>
            <w:hideMark/>
          </w:tcPr>
          <w:p w14:paraId="1B7B911A"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1.3</w:t>
            </w:r>
          </w:p>
        </w:tc>
        <w:tc>
          <w:tcPr>
            <w:tcW w:w="531" w:type="pct"/>
            <w:noWrap/>
            <w:hideMark/>
          </w:tcPr>
          <w:p w14:paraId="6E7A50EF"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0.4</w:t>
            </w:r>
          </w:p>
        </w:tc>
        <w:tc>
          <w:tcPr>
            <w:tcW w:w="514" w:type="pct"/>
            <w:noWrap/>
            <w:hideMark/>
          </w:tcPr>
          <w:p w14:paraId="657FCD65"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0.6</w:t>
            </w:r>
          </w:p>
        </w:tc>
        <w:tc>
          <w:tcPr>
            <w:tcW w:w="403" w:type="pct"/>
            <w:noWrap/>
            <w:hideMark/>
          </w:tcPr>
          <w:p w14:paraId="72F77D2C"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0.0</w:t>
            </w:r>
          </w:p>
        </w:tc>
        <w:tc>
          <w:tcPr>
            <w:tcW w:w="510" w:type="pct"/>
            <w:noWrap/>
            <w:hideMark/>
          </w:tcPr>
          <w:p w14:paraId="1B89E6E4"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100</w:t>
            </w:r>
          </w:p>
        </w:tc>
        <w:tc>
          <w:tcPr>
            <w:tcW w:w="1232" w:type="pct"/>
            <w:noWrap/>
            <w:hideMark/>
          </w:tcPr>
          <w:p w14:paraId="146B6D81" w14:textId="77777777" w:rsidR="007C2077" w:rsidRPr="008513E9" w:rsidRDefault="007C2077" w:rsidP="007C2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MX" w:eastAsia="es-MX"/>
              </w:rPr>
            </w:pPr>
            <w:r w:rsidRPr="008513E9">
              <w:rPr>
                <w:rFonts w:ascii="Times New Roman" w:eastAsia="Times New Roman" w:hAnsi="Times New Roman" w:cs="Times New Roman"/>
                <w:color w:val="000000"/>
                <w:sz w:val="20"/>
                <w:szCs w:val="20"/>
                <w:lang w:val="es-MX" w:eastAsia="es-MX"/>
              </w:rPr>
              <w:t xml:space="preserve"> $ 15,219.17 </w:t>
            </w:r>
          </w:p>
        </w:tc>
      </w:tr>
      <w:tr w:rsidR="008513E9" w:rsidRPr="007C2077" w14:paraId="6AD85EB9" w14:textId="77777777" w:rsidTr="002E2BCF">
        <w:trPr>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14:paraId="65BACA5D" w14:textId="77777777" w:rsidR="007C2077" w:rsidRPr="008513E9" w:rsidRDefault="007C2077" w:rsidP="007C2077">
            <w:pPr>
              <w:rPr>
                <w:rFonts w:ascii="Times New Roman" w:eastAsia="Times New Roman" w:hAnsi="Times New Roman" w:cs="Times New Roman"/>
                <w:b w:val="0"/>
                <w:bCs w:val="0"/>
                <w:color w:val="000000"/>
                <w:sz w:val="20"/>
                <w:szCs w:val="20"/>
                <w:lang w:val="es-MX" w:eastAsia="es-MX"/>
              </w:rPr>
            </w:pPr>
            <w:r w:rsidRPr="008513E9">
              <w:rPr>
                <w:rFonts w:ascii="Times New Roman" w:eastAsia="Times New Roman" w:hAnsi="Times New Roman" w:cs="Times New Roman"/>
                <w:b w:val="0"/>
                <w:bCs w:val="0"/>
                <w:color w:val="000000"/>
                <w:sz w:val="20"/>
                <w:szCs w:val="20"/>
                <w:lang w:val="es-MX" w:eastAsia="es-MX"/>
              </w:rPr>
              <w:t>América Latina y el Caribe</w:t>
            </w:r>
          </w:p>
        </w:tc>
        <w:tc>
          <w:tcPr>
            <w:tcW w:w="614" w:type="pct"/>
            <w:noWrap/>
            <w:hideMark/>
          </w:tcPr>
          <w:p w14:paraId="49F24C71"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0.7</w:t>
            </w:r>
          </w:p>
        </w:tc>
        <w:tc>
          <w:tcPr>
            <w:tcW w:w="531" w:type="pct"/>
            <w:noWrap/>
            <w:hideMark/>
          </w:tcPr>
          <w:p w14:paraId="6F6B7226"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58.5</w:t>
            </w:r>
          </w:p>
        </w:tc>
        <w:tc>
          <w:tcPr>
            <w:tcW w:w="514" w:type="pct"/>
            <w:noWrap/>
            <w:hideMark/>
          </w:tcPr>
          <w:p w14:paraId="0807199D"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34.7</w:t>
            </w:r>
          </w:p>
        </w:tc>
        <w:tc>
          <w:tcPr>
            <w:tcW w:w="403" w:type="pct"/>
            <w:noWrap/>
            <w:hideMark/>
          </w:tcPr>
          <w:p w14:paraId="136E4E9D"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6.8</w:t>
            </w:r>
          </w:p>
        </w:tc>
        <w:tc>
          <w:tcPr>
            <w:tcW w:w="510" w:type="pct"/>
            <w:noWrap/>
            <w:hideMark/>
          </w:tcPr>
          <w:p w14:paraId="09CAA7D1"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100</w:t>
            </w:r>
          </w:p>
        </w:tc>
        <w:tc>
          <w:tcPr>
            <w:tcW w:w="1232" w:type="pct"/>
            <w:noWrap/>
            <w:hideMark/>
          </w:tcPr>
          <w:p w14:paraId="3E94BB0B" w14:textId="77777777" w:rsidR="007C2077" w:rsidRPr="008513E9" w:rsidRDefault="007C2077" w:rsidP="007C2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val="es-MX" w:eastAsia="es-MX"/>
              </w:rPr>
            </w:pPr>
            <w:r w:rsidRPr="008513E9">
              <w:rPr>
                <w:rFonts w:ascii="Times New Roman" w:eastAsia="Times New Roman" w:hAnsi="Times New Roman" w:cs="Times New Roman"/>
                <w:b/>
                <w:color w:val="000000"/>
                <w:sz w:val="20"/>
                <w:szCs w:val="20"/>
                <w:lang w:val="es-MX" w:eastAsia="es-MX"/>
              </w:rPr>
              <w:t xml:space="preserve"> $ 15,310.98 </w:t>
            </w:r>
          </w:p>
        </w:tc>
      </w:tr>
      <w:tr w:rsidR="007C2077" w:rsidRPr="007C2077" w14:paraId="461EA27B" w14:textId="77777777" w:rsidTr="002E2B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09B6D539" w14:textId="77777777" w:rsidR="007C2077" w:rsidRPr="00927F81" w:rsidRDefault="007C2077" w:rsidP="007C2077">
            <w:pPr>
              <w:rPr>
                <w:rFonts w:ascii="Times New Roman" w:eastAsia="Times New Roman" w:hAnsi="Times New Roman" w:cs="Times New Roman"/>
                <w:color w:val="000000"/>
                <w:sz w:val="16"/>
                <w:szCs w:val="20"/>
                <w:lang w:val="es-MX" w:eastAsia="es-MX"/>
              </w:rPr>
            </w:pPr>
            <w:r w:rsidRPr="00927F81">
              <w:rPr>
                <w:rFonts w:ascii="Times New Roman" w:eastAsia="Times New Roman" w:hAnsi="Times New Roman" w:cs="Times New Roman"/>
                <w:color w:val="000000"/>
                <w:sz w:val="16"/>
                <w:szCs w:val="20"/>
                <w:lang w:val="es-MX" w:eastAsia="es-MX"/>
              </w:rPr>
              <w:t>*Otros: Incluye el financiamiento por parte de los sectores institucionales de educación superior, privado no lucrativo externo.</w:t>
            </w:r>
          </w:p>
        </w:tc>
      </w:tr>
      <w:tr w:rsidR="007C2077" w:rsidRPr="007C2077" w14:paraId="3A65314E" w14:textId="77777777" w:rsidTr="002E2BCF">
        <w:trPr>
          <w:trHeight w:val="20"/>
        </w:trPr>
        <w:tc>
          <w:tcPr>
            <w:cnfStyle w:val="001000000000" w:firstRow="0" w:lastRow="0" w:firstColumn="1" w:lastColumn="0" w:oddVBand="0" w:evenVBand="0" w:oddHBand="0" w:evenHBand="0" w:firstRowFirstColumn="0" w:firstRowLastColumn="0" w:lastRowFirstColumn="0" w:lastRowLastColumn="0"/>
            <w:tcW w:w="3258" w:type="pct"/>
            <w:gridSpan w:val="5"/>
            <w:noWrap/>
            <w:hideMark/>
          </w:tcPr>
          <w:p w14:paraId="204C1A0F" w14:textId="77777777" w:rsidR="007C2077" w:rsidRPr="00927F81" w:rsidRDefault="007C2077" w:rsidP="007C2077">
            <w:pPr>
              <w:rPr>
                <w:rFonts w:ascii="Times New Roman" w:eastAsia="Times New Roman" w:hAnsi="Times New Roman" w:cs="Times New Roman"/>
                <w:color w:val="000000"/>
                <w:sz w:val="16"/>
                <w:szCs w:val="20"/>
                <w:lang w:val="en-US" w:eastAsia="es-MX"/>
              </w:rPr>
            </w:pPr>
            <w:r w:rsidRPr="00927F81">
              <w:rPr>
                <w:rFonts w:ascii="Times New Roman" w:eastAsia="Times New Roman" w:hAnsi="Times New Roman" w:cs="Times New Roman"/>
                <w:b w:val="0"/>
                <w:bCs w:val="0"/>
                <w:color w:val="000000"/>
                <w:sz w:val="16"/>
                <w:szCs w:val="20"/>
                <w:lang w:val="en-US" w:eastAsia="es-MX"/>
              </w:rPr>
              <w:t>Fuentes:</w:t>
            </w:r>
            <w:r w:rsidRPr="00927F81">
              <w:rPr>
                <w:rFonts w:ascii="Times New Roman" w:eastAsia="Times New Roman" w:hAnsi="Times New Roman" w:cs="Times New Roman"/>
                <w:color w:val="000000"/>
                <w:sz w:val="16"/>
                <w:szCs w:val="20"/>
                <w:lang w:val="en-US" w:eastAsia="es-MX"/>
              </w:rPr>
              <w:t xml:space="preserve"> OECD, Main Science and Technology Indicators, 2016</w:t>
            </w:r>
          </w:p>
        </w:tc>
        <w:tc>
          <w:tcPr>
            <w:tcW w:w="510" w:type="pct"/>
            <w:noWrap/>
            <w:hideMark/>
          </w:tcPr>
          <w:p w14:paraId="22906EF8" w14:textId="77777777" w:rsidR="007C2077" w:rsidRPr="00927F81" w:rsidRDefault="007C2077" w:rsidP="007C20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20"/>
                <w:lang w:val="en-US" w:eastAsia="es-MX"/>
              </w:rPr>
            </w:pPr>
          </w:p>
        </w:tc>
        <w:tc>
          <w:tcPr>
            <w:tcW w:w="1232" w:type="pct"/>
            <w:noWrap/>
            <w:hideMark/>
          </w:tcPr>
          <w:p w14:paraId="19FDD871" w14:textId="77777777" w:rsidR="007C2077" w:rsidRPr="00927F81" w:rsidRDefault="007C2077" w:rsidP="007C20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20"/>
                <w:lang w:val="en-US" w:eastAsia="es-MX"/>
              </w:rPr>
            </w:pPr>
            <w:r w:rsidRPr="00927F81">
              <w:rPr>
                <w:rFonts w:ascii="Times New Roman" w:eastAsia="Times New Roman" w:hAnsi="Times New Roman" w:cs="Times New Roman"/>
                <w:color w:val="000000"/>
                <w:sz w:val="16"/>
                <w:szCs w:val="20"/>
                <w:lang w:val="en-US" w:eastAsia="es-MX"/>
              </w:rPr>
              <w:t> </w:t>
            </w:r>
          </w:p>
        </w:tc>
      </w:tr>
      <w:tr w:rsidR="007C2077" w:rsidRPr="007C2077" w14:paraId="3522CAA2" w14:textId="77777777" w:rsidTr="002E2B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57215766" w14:textId="77777777" w:rsidR="007C2077" w:rsidRPr="00927F81" w:rsidRDefault="007C2077" w:rsidP="007C2077">
            <w:pPr>
              <w:rPr>
                <w:rFonts w:ascii="Times New Roman" w:eastAsia="Times New Roman" w:hAnsi="Times New Roman" w:cs="Times New Roman"/>
                <w:color w:val="000000"/>
                <w:sz w:val="16"/>
                <w:szCs w:val="20"/>
                <w:lang w:val="es-MX" w:eastAsia="es-MX"/>
              </w:rPr>
            </w:pPr>
            <w:r w:rsidRPr="00927F81">
              <w:rPr>
                <w:rFonts w:ascii="Times New Roman" w:eastAsia="Times New Roman" w:hAnsi="Times New Roman" w:cs="Times New Roman"/>
                <w:color w:val="000000"/>
                <w:sz w:val="16"/>
                <w:szCs w:val="20"/>
                <w:lang w:val="es-MX" w:eastAsia="es-MX"/>
              </w:rPr>
              <w:t>RICYT, Red de Indicadores de Ciencia y Tecnología - Iberoamericanos e Interamericanos.</w:t>
            </w:r>
          </w:p>
        </w:tc>
      </w:tr>
    </w:tbl>
    <w:p w14:paraId="12C475E2" w14:textId="76C98BEB" w:rsidR="007C2077" w:rsidRDefault="007C2077" w:rsidP="007C2077">
      <w:pPr>
        <w:rPr>
          <w:rFonts w:ascii="Calibri" w:eastAsia="Times New Roman" w:hAnsi="Calibri" w:cs="Times New Roman"/>
        </w:rPr>
      </w:pPr>
    </w:p>
    <w:p w14:paraId="15EB0817" w14:textId="7F2DA5E8" w:rsidR="007C2077" w:rsidRDefault="007C2077" w:rsidP="007C2077">
      <w:pPr>
        <w:spacing w:line="360" w:lineRule="auto"/>
        <w:jc w:val="both"/>
        <w:rPr>
          <w:rFonts w:ascii="Times New Roman" w:eastAsia="Times New Roman" w:hAnsi="Times New Roman" w:cs="Times New Roman"/>
          <w:iCs/>
        </w:rPr>
      </w:pPr>
      <w:r w:rsidRPr="007C2077">
        <w:rPr>
          <w:rFonts w:ascii="Times New Roman" w:eastAsia="Times New Roman" w:hAnsi="Times New Roman" w:cs="Times New Roman"/>
          <w:iCs/>
        </w:rPr>
        <w:t>El dato anterior contrasta con el promedio de la OCDE. En este caso, la mayor fuente de financiamiento proviene de las empresas (62.1%). Luego, el gobierno posee una participación en segundo término (20.7%). Esta proporción se profundiza en aquellos países con una relación GIDE/PIB mayor al 2.5%, como Estados Unidos, Japón, Finlandia y Corea del Sur. En estas naciones, salvo Israel, la inversión en Investigación y Desarrollo Experimental realizada por empresas va de un rango desde 57.0% hasta el 78.1%. Las distancias de estos países desarrollados con respecto a México son considerables, cuyas participaciones del ámbito privado junto con las Universidades y Centros de investigación apenas alcanzan el 40%.</w:t>
      </w:r>
      <w:r w:rsidRPr="007C2077" w:rsidDel="007D48C4">
        <w:rPr>
          <w:rFonts w:ascii="Times New Roman" w:eastAsia="Times New Roman" w:hAnsi="Times New Roman" w:cs="Times New Roman"/>
          <w:iCs/>
        </w:rPr>
        <w:t xml:space="preserve"> </w:t>
      </w:r>
    </w:p>
    <w:p w14:paraId="5667DC2A" w14:textId="1BB405C1" w:rsidR="00256E5A" w:rsidRPr="00B25602" w:rsidRDefault="00256E5A" w:rsidP="00256E5A">
      <w:pPr>
        <w:jc w:val="center"/>
        <w:rPr>
          <w:rFonts w:ascii="Times New Roman" w:eastAsia="Times New Roman" w:hAnsi="Times New Roman" w:cs="Times New Roman"/>
          <w:iCs/>
          <w:color w:val="323E4F" w:themeColor="text2" w:themeShade="BF"/>
          <w:lang w:val="es-MX"/>
        </w:rPr>
      </w:pPr>
      <w:r w:rsidRPr="00B25602">
        <w:rPr>
          <w:rFonts w:ascii="Times New Roman" w:eastAsia="Times New Roman" w:hAnsi="Times New Roman" w:cs="Times New Roman"/>
          <w:b/>
          <w:bCs/>
          <w:iCs/>
          <w:color w:val="323E4F" w:themeColor="text2" w:themeShade="BF"/>
          <w:lang w:val="es-MX"/>
        </w:rPr>
        <w:t>Gráfica 1. Evolución de los recursos del GIDE en México, 2010-2017</w:t>
      </w:r>
    </w:p>
    <w:p w14:paraId="69760F72" w14:textId="45322BB2" w:rsidR="00256E5A" w:rsidRPr="00B25602" w:rsidRDefault="00256E5A" w:rsidP="00256E5A">
      <w:pPr>
        <w:jc w:val="center"/>
        <w:rPr>
          <w:rFonts w:ascii="Times New Roman" w:eastAsia="Times New Roman" w:hAnsi="Times New Roman" w:cs="Times New Roman"/>
          <w:iCs/>
          <w:color w:val="323E4F" w:themeColor="text2" w:themeShade="BF"/>
          <w:lang w:val="es-MX"/>
        </w:rPr>
      </w:pPr>
      <w:r w:rsidRPr="00B25602">
        <w:rPr>
          <w:rFonts w:ascii="Times New Roman" w:eastAsia="Times New Roman" w:hAnsi="Times New Roman" w:cs="Times New Roman"/>
          <w:b/>
          <w:bCs/>
          <w:iCs/>
          <w:color w:val="323E4F" w:themeColor="text2" w:themeShade="BF"/>
          <w:lang w:val="es-MX"/>
        </w:rPr>
        <w:t>Millones de pesos a precios de 2017</w:t>
      </w:r>
    </w:p>
    <w:p w14:paraId="25ED8241" w14:textId="66D9880B" w:rsidR="00256E5A" w:rsidRDefault="00115560" w:rsidP="007C2077">
      <w:pPr>
        <w:spacing w:line="360" w:lineRule="auto"/>
        <w:rPr>
          <w:rFonts w:ascii="Times New Roman" w:eastAsia="Times New Roman" w:hAnsi="Times New Roman" w:cs="Times New Roman"/>
          <w:iCs/>
        </w:rPr>
      </w:pPr>
      <w:r>
        <w:rPr>
          <w:rFonts w:ascii="Times New Roman" w:eastAsia="Times New Roman" w:hAnsi="Times New Roman" w:cs="Times New Roman"/>
          <w:iCs/>
          <w:noProof/>
        </w:rPr>
        <mc:AlternateContent>
          <mc:Choice Requires="wpg">
            <w:drawing>
              <wp:anchor distT="0" distB="0" distL="114300" distR="114300" simplePos="0" relativeHeight="251663360" behindDoc="0" locked="0" layoutInCell="1" allowOverlap="1" wp14:anchorId="4244F83F" wp14:editId="5B78E870">
                <wp:simplePos x="0" y="0"/>
                <wp:positionH relativeFrom="column">
                  <wp:posOffset>526324</wp:posOffset>
                </wp:positionH>
                <wp:positionV relativeFrom="paragraph">
                  <wp:posOffset>70031</wp:posOffset>
                </wp:positionV>
                <wp:extent cx="5398407" cy="3352799"/>
                <wp:effectExtent l="0" t="0" r="0" b="635"/>
                <wp:wrapNone/>
                <wp:docPr id="2" name="Grupo 2"/>
                <wp:cNvGraphicFramePr/>
                <a:graphic xmlns:a="http://schemas.openxmlformats.org/drawingml/2006/main">
                  <a:graphicData uri="http://schemas.microsoft.com/office/word/2010/wordprocessingGroup">
                    <wpg:wgp>
                      <wpg:cNvGrpSpPr/>
                      <wpg:grpSpPr>
                        <a:xfrm>
                          <a:off x="0" y="0"/>
                          <a:ext cx="5398407" cy="3352799"/>
                          <a:chOff x="0" y="0"/>
                          <a:chExt cx="5398407" cy="3341661"/>
                        </a:xfrm>
                      </wpg:grpSpPr>
                      <wps:wsp>
                        <wps:cNvPr id="16" name="CuadroTexto 2"/>
                        <wps:cNvSpPr txBox="1"/>
                        <wps:spPr>
                          <a:xfrm>
                            <a:off x="0" y="2862943"/>
                            <a:ext cx="5398407" cy="478718"/>
                          </a:xfrm>
                          <a:prstGeom prst="rect">
                            <a:avLst/>
                          </a:prstGeom>
                          <a:noFill/>
                          <a:ln w="9525" cmpd="sng">
                            <a:noFill/>
                          </a:ln>
                          <a:effectLst/>
                        </wps:spPr>
                        <wps:txbx>
                          <w:txbxContent>
                            <w:p w14:paraId="4A447045" w14:textId="77777777" w:rsidR="007A1A58" w:rsidRPr="00927F81" w:rsidRDefault="007A1A58" w:rsidP="007C2077">
                              <w:pPr>
                                <w:pStyle w:val="NormalWeb"/>
                                <w:rPr>
                                  <w:sz w:val="16"/>
                                  <w:szCs w:val="16"/>
                                </w:rPr>
                              </w:pPr>
                              <w:r w:rsidRPr="00927F81">
                                <w:rPr>
                                  <w:color w:val="000000"/>
                                  <w:sz w:val="16"/>
                                  <w:szCs w:val="16"/>
                                </w:rPr>
                                <w:t>Los datos de 2014 a 2017 son estimados.</w:t>
                              </w:r>
                            </w:p>
                            <w:p w14:paraId="3E93ED7E" w14:textId="057232F5" w:rsidR="007A1A58" w:rsidRPr="00927F81" w:rsidRDefault="007A1A58" w:rsidP="007C2077">
                              <w:pPr>
                                <w:pStyle w:val="NormalWeb"/>
                                <w:rPr>
                                  <w:sz w:val="16"/>
                                  <w:szCs w:val="16"/>
                                </w:rPr>
                              </w:pPr>
                              <w:r w:rsidRPr="00927F81">
                                <w:rPr>
                                  <w:b/>
                                  <w:bCs/>
                                  <w:color w:val="000000"/>
                                  <w:sz w:val="16"/>
                                  <w:szCs w:val="16"/>
                                </w:rPr>
                                <w:t>Fuente:</w:t>
                              </w:r>
                              <w:r w:rsidRPr="00927F81">
                                <w:rPr>
                                  <w:color w:val="000000"/>
                                  <w:sz w:val="16"/>
                                  <w:szCs w:val="16"/>
                                </w:rPr>
                                <w:t xml:space="preserve"> Datos calculados con base en información proveniente de la Encuesta sobre Investigación y Desarrollo Tecnológico (ESIDET) 2008; 2010; 2012 y 2014, levantada en colaboración entre el INEGI y el CONACYT.</w:t>
                              </w:r>
                            </w:p>
                          </w:txbxContent>
                        </wps:txbx>
                        <wps:bodyPr vertOverflow="clip" horzOverflow="clip" wrap="square" rtlCol="0" anchor="t">
                          <a:noAutofit/>
                        </wps:bodyPr>
                      </wps:wsp>
                      <wpg:graphicFrame>
                        <wpg:cNvPr id="17" name="Gráfico 17"/>
                        <wpg:cNvFrPr/>
                        <wpg:xfrm>
                          <a:off x="43543" y="0"/>
                          <a:ext cx="5317490" cy="2879090"/>
                        </wpg:xfrm>
                        <a:graphic>
                          <a:graphicData uri="http://schemas.openxmlformats.org/drawingml/2006/chart">
                            <c:chart xmlns:c="http://schemas.openxmlformats.org/drawingml/2006/chart" xmlns:r="http://schemas.openxmlformats.org/officeDocument/2006/relationships" r:id="rId9"/>
                          </a:graphicData>
                        </a:graphic>
                      </wpg:graphicFrame>
                    </wpg:wgp>
                  </a:graphicData>
                </a:graphic>
                <wp14:sizeRelV relativeFrom="margin">
                  <wp14:pctHeight>0</wp14:pctHeight>
                </wp14:sizeRelV>
              </wp:anchor>
            </w:drawing>
          </mc:Choice>
          <mc:Fallback>
            <w:pict>
              <v:group w14:anchorId="4244F83F" id="Grupo 2" o:spid="_x0000_s1026" style="position:absolute;margin-left:41.45pt;margin-top:5.5pt;width:425.05pt;height:264pt;z-index:251663360;mso-height-relative:margin" coordsize="53984,33416"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">
                <v:shapetype id="_x0000_t202" coordsize="21600,21600" o:spt="202" path="m,l,21600r21600,l21600,xe">
                  <v:stroke joinstyle="miter"/>
                  <v:path gradientshapeok="t" o:connecttype="rect"/>
                </v:shapetype>
                <v:shape id="CuadroTexto 2" o:spid="_x0000_s1027" type="#_x0000_t202" style="position:absolute;top:28629;width:53984;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A447045" w14:textId="77777777" w:rsidR="007A1A58" w:rsidRPr="00927F81" w:rsidRDefault="007A1A58" w:rsidP="007C2077">
                        <w:pPr>
                          <w:pStyle w:val="NormalWeb"/>
                          <w:rPr>
                            <w:sz w:val="16"/>
                            <w:szCs w:val="16"/>
                          </w:rPr>
                        </w:pPr>
                        <w:r w:rsidRPr="00927F81">
                          <w:rPr>
                            <w:color w:val="000000"/>
                            <w:sz w:val="16"/>
                            <w:szCs w:val="16"/>
                          </w:rPr>
                          <w:t>Los datos de 2014 a 2017 son estimados.</w:t>
                        </w:r>
                      </w:p>
                      <w:p w14:paraId="3E93ED7E" w14:textId="057232F5" w:rsidR="007A1A58" w:rsidRPr="00927F81" w:rsidRDefault="007A1A58" w:rsidP="007C2077">
                        <w:pPr>
                          <w:pStyle w:val="NormalWeb"/>
                          <w:rPr>
                            <w:sz w:val="16"/>
                            <w:szCs w:val="16"/>
                          </w:rPr>
                        </w:pPr>
                        <w:r w:rsidRPr="00927F81">
                          <w:rPr>
                            <w:b/>
                            <w:bCs/>
                            <w:color w:val="000000"/>
                            <w:sz w:val="16"/>
                            <w:szCs w:val="16"/>
                          </w:rPr>
                          <w:t>Fuente:</w:t>
                        </w:r>
                        <w:r w:rsidRPr="00927F81">
                          <w:rPr>
                            <w:color w:val="000000"/>
                            <w:sz w:val="16"/>
                            <w:szCs w:val="16"/>
                          </w:rPr>
                          <w:t xml:space="preserve"> Datos calculados con base en información proveniente de la Encuesta sobre Investigación y Desarrollo Tecnológico (ESIDET) 2008; 2010; 2012 y 2014, levantada en colaboración entre el INEGI y el CONACYT.</w:t>
                        </w:r>
                      </w:p>
                    </w:txbxContent>
                  </v:textbox>
                </v:shape>
                <v:shape id="Gráfico 17" o:spid="_x0000_s1028" type="#_x0000_t75" style="position:absolute;left:365;top:-60;width:53279;height:289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">
                  <v:imagedata r:id="rId10" o:title=""/>
                  <o:lock v:ext="edit" aspectratio="f"/>
                </v:shape>
              </v:group>
            </w:pict>
          </mc:Fallback>
        </mc:AlternateContent>
      </w:r>
    </w:p>
    <w:p w14:paraId="682443FD" w14:textId="69B2D678" w:rsidR="00256E5A" w:rsidRDefault="00256E5A" w:rsidP="007C2077">
      <w:pPr>
        <w:spacing w:line="360" w:lineRule="auto"/>
        <w:rPr>
          <w:rFonts w:ascii="Times New Roman" w:eastAsia="Times New Roman" w:hAnsi="Times New Roman" w:cs="Times New Roman"/>
          <w:iCs/>
        </w:rPr>
      </w:pPr>
    </w:p>
    <w:p w14:paraId="0DACBBB7" w14:textId="77777777" w:rsidR="00256E5A" w:rsidRDefault="00256E5A" w:rsidP="007C2077">
      <w:pPr>
        <w:spacing w:line="360" w:lineRule="auto"/>
        <w:rPr>
          <w:rFonts w:ascii="Times New Roman" w:eastAsia="Times New Roman" w:hAnsi="Times New Roman" w:cs="Times New Roman"/>
          <w:iCs/>
        </w:rPr>
      </w:pPr>
    </w:p>
    <w:p w14:paraId="3881F6D8" w14:textId="77777777" w:rsidR="00256E5A" w:rsidRDefault="00256E5A" w:rsidP="007C2077">
      <w:pPr>
        <w:spacing w:line="360" w:lineRule="auto"/>
        <w:rPr>
          <w:rFonts w:ascii="Times New Roman" w:eastAsia="Times New Roman" w:hAnsi="Times New Roman" w:cs="Times New Roman"/>
          <w:iCs/>
        </w:rPr>
      </w:pPr>
    </w:p>
    <w:p w14:paraId="74A21B8A" w14:textId="474ED8F6" w:rsidR="007C2077" w:rsidRPr="007C2077" w:rsidRDefault="007C2077" w:rsidP="007C2077">
      <w:pPr>
        <w:spacing w:line="360" w:lineRule="auto"/>
        <w:rPr>
          <w:rFonts w:ascii="Times New Roman" w:eastAsia="Times New Roman" w:hAnsi="Times New Roman" w:cs="Times New Roman"/>
          <w:iCs/>
        </w:rPr>
      </w:pPr>
    </w:p>
    <w:p w14:paraId="0A077E63" w14:textId="41C0609B" w:rsidR="007C2077" w:rsidRDefault="007C2077" w:rsidP="007C2077">
      <w:pPr>
        <w:spacing w:line="360" w:lineRule="auto"/>
        <w:rPr>
          <w:rFonts w:ascii="Times New Roman" w:eastAsia="Times New Roman" w:hAnsi="Times New Roman" w:cs="Times New Roman"/>
          <w:iCs/>
        </w:rPr>
      </w:pPr>
    </w:p>
    <w:p w14:paraId="0C46E95D" w14:textId="17733A1A" w:rsidR="00256E5A" w:rsidRDefault="00256E5A" w:rsidP="007C2077">
      <w:pPr>
        <w:spacing w:line="360" w:lineRule="auto"/>
        <w:rPr>
          <w:rFonts w:ascii="Times New Roman" w:eastAsia="Times New Roman" w:hAnsi="Times New Roman" w:cs="Times New Roman"/>
          <w:iCs/>
        </w:rPr>
      </w:pPr>
    </w:p>
    <w:p w14:paraId="3A88BC74" w14:textId="2AB29325" w:rsidR="00256E5A" w:rsidRDefault="00256E5A" w:rsidP="007C2077">
      <w:pPr>
        <w:spacing w:line="360" w:lineRule="auto"/>
        <w:rPr>
          <w:rFonts w:ascii="Times New Roman" w:eastAsia="Times New Roman" w:hAnsi="Times New Roman" w:cs="Times New Roman"/>
          <w:iCs/>
        </w:rPr>
      </w:pPr>
    </w:p>
    <w:p w14:paraId="1FC3C697" w14:textId="34A641A8" w:rsidR="00256E5A" w:rsidRDefault="00256E5A" w:rsidP="007C2077">
      <w:pPr>
        <w:spacing w:line="360" w:lineRule="auto"/>
        <w:rPr>
          <w:rFonts w:ascii="Times New Roman" w:eastAsia="Times New Roman" w:hAnsi="Times New Roman" w:cs="Times New Roman"/>
          <w:iCs/>
        </w:rPr>
      </w:pPr>
    </w:p>
    <w:p w14:paraId="6931A9B6" w14:textId="3148A999" w:rsidR="00256E5A" w:rsidRDefault="00256E5A" w:rsidP="007C2077">
      <w:pPr>
        <w:spacing w:line="360" w:lineRule="auto"/>
        <w:rPr>
          <w:rFonts w:ascii="Times New Roman" w:eastAsia="Times New Roman" w:hAnsi="Times New Roman" w:cs="Times New Roman"/>
          <w:iCs/>
        </w:rPr>
      </w:pPr>
    </w:p>
    <w:p w14:paraId="4B9F1D6F" w14:textId="323916C6" w:rsidR="00256E5A" w:rsidRDefault="00256E5A" w:rsidP="007C2077">
      <w:pPr>
        <w:spacing w:line="360" w:lineRule="auto"/>
        <w:rPr>
          <w:rFonts w:ascii="Times New Roman" w:eastAsia="Times New Roman" w:hAnsi="Times New Roman" w:cs="Times New Roman"/>
          <w:iCs/>
        </w:rPr>
      </w:pPr>
    </w:p>
    <w:p w14:paraId="532B6F8A" w14:textId="5C2E98F6" w:rsidR="00256E5A" w:rsidRDefault="00256E5A" w:rsidP="007C2077">
      <w:pPr>
        <w:spacing w:line="360" w:lineRule="auto"/>
        <w:rPr>
          <w:rFonts w:ascii="Times New Roman" w:eastAsia="Times New Roman" w:hAnsi="Times New Roman" w:cs="Times New Roman"/>
          <w:iCs/>
        </w:rPr>
      </w:pPr>
    </w:p>
    <w:p w14:paraId="1DFEC513" w14:textId="566B0594" w:rsidR="00256E5A" w:rsidRDefault="00256E5A" w:rsidP="007C2077">
      <w:pPr>
        <w:spacing w:line="360" w:lineRule="auto"/>
        <w:rPr>
          <w:rFonts w:ascii="Times New Roman" w:eastAsia="Times New Roman" w:hAnsi="Times New Roman" w:cs="Times New Roman"/>
          <w:iCs/>
        </w:rPr>
      </w:pPr>
    </w:p>
    <w:p w14:paraId="5C885C2D" w14:textId="1A501F51" w:rsidR="007C2077" w:rsidRPr="007C2077" w:rsidRDefault="007C2077" w:rsidP="007C2077">
      <w:pPr>
        <w:spacing w:line="360" w:lineRule="auto"/>
        <w:jc w:val="both"/>
        <w:rPr>
          <w:rFonts w:ascii="Times New Roman" w:eastAsia="MS Mincho" w:hAnsi="Times New Roman" w:cs="Times New Roman"/>
        </w:rPr>
      </w:pPr>
      <w:r w:rsidRPr="007C2077">
        <w:rPr>
          <w:rFonts w:ascii="Times New Roman" w:eastAsia="Times New Roman" w:hAnsi="Times New Roman" w:cs="Times New Roman"/>
          <w:iCs/>
        </w:rPr>
        <w:lastRenderedPageBreak/>
        <w:t xml:space="preserve">Aunque se identifique un bajo nivel de GIDE en México, podemos señalar que el gobierno es fundamental para llevar a cabo actividades en Investigación y Desarrollo Tecnológico (IDT) en el país. La gráfica 1 ilustra lo anterior </w:t>
      </w:r>
      <w:r w:rsidRPr="007C2077">
        <w:rPr>
          <w:rFonts w:ascii="Times New Roman" w:eastAsia="MS Mincho" w:hAnsi="Times New Roman" w:cs="Times New Roman"/>
        </w:rPr>
        <w:t>para un periodo que va del año 2010 a 2017. El gobierno otorga el mayor financiamiento en Investigación y Desarrollo Experimental (IDE) en comparación con las otras fuentes.</w:t>
      </w:r>
    </w:p>
    <w:p w14:paraId="76451DBC" w14:textId="77777777" w:rsidR="007C2077" w:rsidRPr="007C2077" w:rsidRDefault="007C2077" w:rsidP="007C2077">
      <w:pPr>
        <w:spacing w:line="360" w:lineRule="auto"/>
        <w:jc w:val="both"/>
        <w:rPr>
          <w:rFonts w:ascii="Times New Roman" w:eastAsia="Times New Roman" w:hAnsi="Times New Roman" w:cs="Times New Roman"/>
          <w:iCs/>
        </w:rPr>
      </w:pPr>
    </w:p>
    <w:p w14:paraId="19B7535B" w14:textId="61933A2F" w:rsidR="007C2077" w:rsidRPr="007B4A79" w:rsidRDefault="007C2077" w:rsidP="007B4A79">
      <w:pPr>
        <w:spacing w:line="360" w:lineRule="auto"/>
        <w:jc w:val="both"/>
        <w:rPr>
          <w:rFonts w:ascii="Times New Roman" w:eastAsia="Times New Roman" w:hAnsi="Times New Roman" w:cs="Times New Roman"/>
          <w:iCs/>
        </w:rPr>
      </w:pPr>
      <w:r w:rsidRPr="007C2077">
        <w:rPr>
          <w:rFonts w:ascii="Times New Roman" w:eastAsia="Times New Roman" w:hAnsi="Times New Roman" w:cs="Times New Roman"/>
          <w:iCs/>
        </w:rPr>
        <w:t>El Gobierno Federal continúa impulsando las actividades en IDT y promoviendo diversos estímulos a las empresas para alcanzar el 1% del GIDE/PIB, con la intención de aumentar la participación de este último. La falta de inversión privada en actividades de IDT obliga la participación del gobierno en este tipo de actividades. Frente a este escenario, parte de la política en inversión en ciencia, tecnología e innovación tendrá que estar orientada a mayores incentivos con el propósito de procurar mayores participaciones de los demás actores diferentes al gobierno.</w:t>
      </w:r>
    </w:p>
    <w:p w14:paraId="2905858E" w14:textId="529FA9AC" w:rsidR="007C2077" w:rsidRPr="007C2077" w:rsidRDefault="007C2077" w:rsidP="002C2BC1">
      <w:pPr>
        <w:pStyle w:val="Ttulo2"/>
        <w:spacing w:before="200"/>
        <w:rPr>
          <w:rFonts w:ascii="Times New Roman" w:eastAsia="Times New Roman" w:hAnsi="Times New Roman" w:cs="Times New Roman"/>
          <w:b/>
          <w:bCs/>
        </w:rPr>
      </w:pPr>
      <w:bookmarkStart w:id="5" w:name="_Toc32920316"/>
      <w:r w:rsidRPr="002336F8">
        <w:rPr>
          <w:rFonts w:ascii="Times New Roman" w:eastAsia="Times New Roman" w:hAnsi="Times New Roman" w:cs="Times New Roman"/>
          <w:b/>
          <w:bCs/>
          <w:sz w:val="24"/>
          <w:szCs w:val="24"/>
        </w:rPr>
        <w:t>II.1. Identificación y estado actual del problema.</w:t>
      </w:r>
      <w:bookmarkEnd w:id="4"/>
      <w:bookmarkEnd w:id="5"/>
      <w:r w:rsidRPr="007C2077">
        <w:rPr>
          <w:rFonts w:ascii="Times New Roman" w:eastAsia="Times New Roman" w:hAnsi="Times New Roman" w:cs="Times New Roman"/>
          <w:b/>
          <w:bCs/>
        </w:rPr>
        <w:tab/>
      </w:r>
    </w:p>
    <w:p w14:paraId="53E1549A" w14:textId="77777777" w:rsidR="007C2077" w:rsidRPr="007C2077" w:rsidRDefault="007C2077" w:rsidP="002C2BC1">
      <w:pPr>
        <w:spacing w:before="200" w:line="360" w:lineRule="auto"/>
        <w:jc w:val="both"/>
        <w:rPr>
          <w:rFonts w:ascii="Times New Roman" w:eastAsia="MS Mincho" w:hAnsi="Times New Roman" w:cs="Times New Roman"/>
        </w:rPr>
      </w:pPr>
      <w:bookmarkStart w:id="6" w:name="_Toc447611666"/>
      <w:r w:rsidRPr="007C2077">
        <w:rPr>
          <w:rFonts w:ascii="Times New Roman" w:eastAsia="MS Mincho" w:hAnsi="Times New Roman" w:cs="Times New Roman"/>
        </w:rPr>
        <w:t xml:space="preserve">Los bajos niveles de participación del ámbito privado en IDE, como en términos del PIB per cápita, rezagan el desarrollo y maduración de estas actividades en CTI. A pesar de ello, los esfuerzos del gobierno en IDT se han convertido en referentes de apoyo y de tránsito hacia una sociedad del conocimiento. </w:t>
      </w:r>
    </w:p>
    <w:p w14:paraId="067784BF" w14:textId="77777777" w:rsidR="007C2077" w:rsidRPr="007C2077" w:rsidRDefault="007C2077" w:rsidP="007C2077">
      <w:pPr>
        <w:spacing w:line="360" w:lineRule="auto"/>
        <w:jc w:val="both"/>
        <w:rPr>
          <w:rFonts w:ascii="Times New Roman" w:eastAsia="MS Mincho" w:hAnsi="Times New Roman" w:cs="Times New Roman"/>
        </w:rPr>
      </w:pPr>
    </w:p>
    <w:p w14:paraId="322C3CF9" w14:textId="77777777" w:rsidR="007C2077" w:rsidRPr="007C2077" w:rsidRDefault="007C2077" w:rsidP="007C2077">
      <w:pPr>
        <w:spacing w:line="360" w:lineRule="auto"/>
        <w:jc w:val="both"/>
        <w:rPr>
          <w:rFonts w:ascii="Times New Roman" w:eastAsia="MS Mincho" w:hAnsi="Times New Roman" w:cs="Times New Roman"/>
        </w:rPr>
      </w:pPr>
      <w:r w:rsidRPr="007C2077">
        <w:rPr>
          <w:rFonts w:ascii="Times New Roman" w:eastAsia="MS Mincho" w:hAnsi="Times New Roman" w:cs="Times New Roman"/>
        </w:rPr>
        <w:t>En consecuencia, se espera que distintas acciones ejecutadas por las entidades de la APF contengan elementos de base tecnológica (generación y uso de conocimiento), permitiéndoles realizar funciones de forma eficiente y asertiva. Para alcanzarlo, es necesaria la conjunción de tres factores:</w:t>
      </w:r>
    </w:p>
    <w:p w14:paraId="662BEF07" w14:textId="77777777" w:rsidR="007C2077" w:rsidRPr="007C2077" w:rsidRDefault="007C2077" w:rsidP="007C2077">
      <w:pPr>
        <w:spacing w:line="360" w:lineRule="auto"/>
        <w:jc w:val="both"/>
        <w:rPr>
          <w:rFonts w:ascii="Times New Roman" w:eastAsia="MS Mincho" w:hAnsi="Times New Roman" w:cs="Times New Roman"/>
        </w:rPr>
      </w:pPr>
    </w:p>
    <w:p w14:paraId="3E7DBFD4" w14:textId="77777777" w:rsidR="007C2077" w:rsidRPr="007C2077" w:rsidRDefault="007C2077" w:rsidP="007C2077">
      <w:pPr>
        <w:numPr>
          <w:ilvl w:val="0"/>
          <w:numId w:val="3"/>
        </w:numPr>
        <w:spacing w:line="360" w:lineRule="auto"/>
        <w:contextualSpacing/>
        <w:jc w:val="both"/>
        <w:rPr>
          <w:rFonts w:ascii="Times New Roman" w:eastAsia="MS Gothic" w:hAnsi="Times New Roman" w:cs="Times New Roman"/>
        </w:rPr>
      </w:pPr>
      <w:r w:rsidRPr="007C2077">
        <w:rPr>
          <w:rFonts w:ascii="Times New Roman" w:eastAsia="MS Gothic" w:hAnsi="Times New Roman" w:cs="Times New Roman"/>
        </w:rPr>
        <w:t>Recursos financieros destinados a realizar actividades de Investigación, Desarrollo, Tecnológico e Innovación (IDTI),</w:t>
      </w:r>
    </w:p>
    <w:p w14:paraId="7934EB26" w14:textId="77777777" w:rsidR="007C2077" w:rsidRPr="007C2077" w:rsidRDefault="007C2077" w:rsidP="007C2077">
      <w:pPr>
        <w:numPr>
          <w:ilvl w:val="0"/>
          <w:numId w:val="3"/>
        </w:numPr>
        <w:spacing w:line="360" w:lineRule="auto"/>
        <w:contextualSpacing/>
        <w:jc w:val="both"/>
        <w:rPr>
          <w:rFonts w:ascii="Times New Roman" w:eastAsia="MS Gothic" w:hAnsi="Times New Roman" w:cs="Times New Roman"/>
        </w:rPr>
      </w:pPr>
      <w:r w:rsidRPr="007C2077">
        <w:rPr>
          <w:rFonts w:ascii="Times New Roman" w:eastAsia="MS Gothic" w:hAnsi="Times New Roman" w:cs="Times New Roman"/>
        </w:rPr>
        <w:t>Recursos humanos calificados para realizar actividades de IDTI, y la</w:t>
      </w:r>
    </w:p>
    <w:p w14:paraId="7E2E076A" w14:textId="77777777" w:rsidR="007C2077" w:rsidRPr="007C2077" w:rsidRDefault="007C2077" w:rsidP="007C2077">
      <w:pPr>
        <w:numPr>
          <w:ilvl w:val="0"/>
          <w:numId w:val="3"/>
        </w:numPr>
        <w:spacing w:line="360" w:lineRule="auto"/>
        <w:contextualSpacing/>
        <w:jc w:val="both"/>
        <w:rPr>
          <w:rFonts w:ascii="Times New Roman" w:eastAsia="MS Gothic" w:hAnsi="Times New Roman" w:cs="Times New Roman"/>
        </w:rPr>
      </w:pPr>
      <w:r w:rsidRPr="007C2077">
        <w:rPr>
          <w:rFonts w:ascii="Times New Roman" w:eastAsia="MS Gothic" w:hAnsi="Times New Roman" w:cs="Times New Roman"/>
        </w:rPr>
        <w:t>Infraestructura científica y tecnológica.</w:t>
      </w:r>
    </w:p>
    <w:p w14:paraId="46DF5C07" w14:textId="77777777" w:rsidR="007C2077" w:rsidRPr="007C2077" w:rsidRDefault="007C2077" w:rsidP="007C2077">
      <w:pPr>
        <w:spacing w:line="360" w:lineRule="auto"/>
        <w:jc w:val="both"/>
        <w:rPr>
          <w:rFonts w:ascii="Times New Roman" w:eastAsia="MS Mincho" w:hAnsi="Times New Roman" w:cs="Times New Roman"/>
        </w:rPr>
      </w:pPr>
    </w:p>
    <w:p w14:paraId="01DA4F64" w14:textId="77777777" w:rsidR="007C2077" w:rsidRPr="007C2077" w:rsidRDefault="007C2077" w:rsidP="007C2077">
      <w:pPr>
        <w:spacing w:line="360" w:lineRule="auto"/>
        <w:jc w:val="both"/>
        <w:rPr>
          <w:rFonts w:ascii="Times New Roman" w:eastAsia="MS Mincho" w:hAnsi="Times New Roman" w:cs="Times New Roman"/>
        </w:rPr>
      </w:pPr>
      <w:r w:rsidRPr="007C2077">
        <w:rPr>
          <w:rFonts w:ascii="Times New Roman" w:eastAsia="MS Mincho" w:hAnsi="Times New Roman" w:cs="Times New Roman"/>
        </w:rPr>
        <w:lastRenderedPageBreak/>
        <w:t xml:space="preserve">Sin embargo, se identifica el siguiente problema: las Secretarías de Estado y Dependencias de la APF poseen </w:t>
      </w:r>
      <w:r w:rsidRPr="007C2077">
        <w:rPr>
          <w:rFonts w:ascii="Times New Roman" w:eastAsia="MS Mincho" w:hAnsi="Times New Roman" w:cs="Times New Roman"/>
          <w:b/>
        </w:rPr>
        <w:t xml:space="preserve">bajas capacidades —referidas a la generación y uso de conocimiento— en Ciencia, Tecnología e Innovación (CTI) </w:t>
      </w:r>
      <w:r w:rsidRPr="007C2077">
        <w:rPr>
          <w:rFonts w:ascii="Times New Roman" w:eastAsia="MS Mincho" w:hAnsi="Times New Roman" w:cs="Times New Roman"/>
        </w:rPr>
        <w:t xml:space="preserve">para atender las demandas públicas y sus obligaciones legalmente estipuladas. En este sentido, las capacidades en CTI se definen como </w:t>
      </w:r>
      <w:r w:rsidRPr="007C2077">
        <w:rPr>
          <w:rFonts w:ascii="Times New Roman" w:eastAsia="Times New Roman" w:hAnsi="Times New Roman" w:cs="Times New Roman"/>
        </w:rPr>
        <w:t xml:space="preserve">la medida de la cantidad y calidad de los recursos económicos, humanos, de infraestructura o de conocimiento, sean éstos tangibles o intangibles, de los cuales dispone y posibilita a un sujeto para la solución de los problemas que surjan como consecuencia de una actividad determinada y sean susceptibles de resolverse mediante la investigación científica, desarrollo tecnológico e innovación (generación y uso de conocimiento). </w:t>
      </w:r>
      <w:r w:rsidRPr="007C2077">
        <w:rPr>
          <w:rFonts w:ascii="Times New Roman" w:eastAsia="MS Mincho" w:hAnsi="Times New Roman" w:cs="Times New Roman"/>
        </w:rPr>
        <w:t>El problema se agudiza además con los bajos niveles de participación y de volumen de las fuentes de financiamientos distintas de la APF destinadas a actividades de IDTI.</w:t>
      </w:r>
    </w:p>
    <w:p w14:paraId="2F245073" w14:textId="77777777" w:rsidR="007C2077" w:rsidRPr="007C2077" w:rsidRDefault="007C2077" w:rsidP="007C2077">
      <w:pPr>
        <w:spacing w:line="360" w:lineRule="auto"/>
        <w:jc w:val="both"/>
        <w:rPr>
          <w:rFonts w:ascii="Times New Roman" w:eastAsia="MS Mincho" w:hAnsi="Times New Roman" w:cs="Times New Roman"/>
        </w:rPr>
      </w:pPr>
    </w:p>
    <w:p w14:paraId="1F2F0A33" w14:textId="0166CCCE" w:rsidR="007C2077" w:rsidRDefault="007C2077" w:rsidP="007C2077">
      <w:pPr>
        <w:spacing w:line="360" w:lineRule="auto"/>
        <w:jc w:val="both"/>
        <w:rPr>
          <w:rFonts w:ascii="Times New Roman" w:eastAsia="MS Mincho" w:hAnsi="Times New Roman" w:cs="Times New Roman"/>
        </w:rPr>
      </w:pPr>
      <w:r w:rsidRPr="007C2077">
        <w:rPr>
          <w:rFonts w:ascii="Times New Roman" w:eastAsia="MS Mincho" w:hAnsi="Times New Roman" w:cs="Times New Roman"/>
        </w:rPr>
        <w:t>De atenderse el problema, los desarrollos científicos, tecnológicos y de innovación generados se ofrecen como herramientas adicionales al Gobierno Federal, a las Secretarías de Estado y entidades de la Administración Pública Federal (APF) para atender las necesidades y servicios requeridos por la sociedad, así como resolver problemas públicos específicos concernientes a su normatividad. En tanto, se favorece un clima para impulsar las redes, la vinculación y la cooperación con el resto de los actores en función de los intereses u objetivos compartidos.</w:t>
      </w:r>
    </w:p>
    <w:p w14:paraId="6AA6F667" w14:textId="7C50BF16" w:rsidR="007C2077" w:rsidRPr="007C2077" w:rsidRDefault="007C2077" w:rsidP="0005403A">
      <w:pPr>
        <w:pStyle w:val="Ttulo2"/>
        <w:spacing w:before="100" w:beforeAutospacing="1"/>
        <w:rPr>
          <w:rFonts w:ascii="Times New Roman" w:eastAsia="Times New Roman" w:hAnsi="Times New Roman" w:cs="Times New Roman"/>
          <w:b/>
          <w:bCs/>
        </w:rPr>
      </w:pPr>
      <w:bookmarkStart w:id="7" w:name="_Toc32920317"/>
      <w:r w:rsidRPr="002336F8">
        <w:rPr>
          <w:rFonts w:ascii="Times New Roman" w:eastAsia="Times New Roman" w:hAnsi="Times New Roman" w:cs="Times New Roman"/>
          <w:b/>
          <w:bCs/>
          <w:sz w:val="24"/>
          <w:szCs w:val="24"/>
        </w:rPr>
        <w:t>II.2. Evolución del problema</w:t>
      </w:r>
      <w:bookmarkEnd w:id="6"/>
      <w:bookmarkEnd w:id="7"/>
      <w:r w:rsidRPr="002336F8">
        <w:rPr>
          <w:rFonts w:ascii="Times New Roman" w:eastAsia="Times New Roman" w:hAnsi="Times New Roman" w:cs="Times New Roman"/>
          <w:b/>
          <w:bCs/>
          <w:sz w:val="24"/>
          <w:szCs w:val="24"/>
        </w:rPr>
        <w:tab/>
      </w:r>
    </w:p>
    <w:p w14:paraId="7D9410D2" w14:textId="77777777" w:rsidR="004D0261" w:rsidRDefault="007C2077" w:rsidP="002336F8">
      <w:pPr>
        <w:spacing w:before="100" w:beforeAutospacing="1" w:line="360" w:lineRule="auto"/>
        <w:jc w:val="both"/>
        <w:rPr>
          <w:rFonts w:ascii="Times New Roman" w:eastAsia="MS Mincho" w:hAnsi="Times New Roman" w:cs="Times New Roman"/>
        </w:rPr>
      </w:pPr>
      <w:bookmarkStart w:id="8" w:name="_Toc447611667"/>
      <w:r w:rsidRPr="007C2077">
        <w:rPr>
          <w:rFonts w:ascii="Times New Roman" w:eastAsia="MS Mincho" w:hAnsi="Times New Roman" w:cs="Times New Roman"/>
        </w:rPr>
        <w:t xml:space="preserve">Una vez visto el origen de los recursos, conviene revisar su destino. Cuando se habla de la ejecución del recurso destinado a actividades de IDTI, la esfera privada, gobierno y de la educación superior —en el cual se encuentran las Universidades y los Centros de Investigación— mantienen una participación alrededor del 30% del GIDE, véase gráfica 2. </w:t>
      </w:r>
    </w:p>
    <w:p w14:paraId="5366CEB1" w14:textId="77777777" w:rsidR="00DB1A6A" w:rsidRDefault="00DB1A6A" w:rsidP="004D0261">
      <w:pPr>
        <w:spacing w:line="360" w:lineRule="auto"/>
        <w:jc w:val="both"/>
        <w:rPr>
          <w:rFonts w:ascii="Times New Roman" w:eastAsia="MS Mincho" w:hAnsi="Times New Roman" w:cs="Times New Roman"/>
        </w:rPr>
      </w:pPr>
    </w:p>
    <w:p w14:paraId="329EE42C" w14:textId="77777777" w:rsidR="0005403A" w:rsidRDefault="0005403A" w:rsidP="004D0261">
      <w:pPr>
        <w:spacing w:line="360" w:lineRule="auto"/>
        <w:jc w:val="center"/>
        <w:rPr>
          <w:rFonts w:ascii="Times New Roman" w:eastAsia="MS Mincho" w:hAnsi="Times New Roman" w:cs="Times New Roman"/>
          <w:b/>
          <w:bCs/>
          <w:lang w:val="es-MX"/>
        </w:rPr>
      </w:pPr>
    </w:p>
    <w:p w14:paraId="79B9281E" w14:textId="77777777" w:rsidR="0005403A" w:rsidRDefault="0005403A" w:rsidP="004D0261">
      <w:pPr>
        <w:spacing w:line="360" w:lineRule="auto"/>
        <w:jc w:val="center"/>
        <w:rPr>
          <w:rFonts w:ascii="Times New Roman" w:eastAsia="MS Mincho" w:hAnsi="Times New Roman" w:cs="Times New Roman"/>
          <w:b/>
          <w:bCs/>
          <w:lang w:val="es-MX"/>
        </w:rPr>
      </w:pPr>
    </w:p>
    <w:p w14:paraId="276A73F8" w14:textId="77777777" w:rsidR="0005403A" w:rsidRDefault="0005403A" w:rsidP="004D0261">
      <w:pPr>
        <w:spacing w:line="360" w:lineRule="auto"/>
        <w:jc w:val="center"/>
        <w:rPr>
          <w:rFonts w:ascii="Times New Roman" w:eastAsia="MS Mincho" w:hAnsi="Times New Roman" w:cs="Times New Roman"/>
          <w:b/>
          <w:bCs/>
          <w:lang w:val="es-MX"/>
        </w:rPr>
      </w:pPr>
    </w:p>
    <w:p w14:paraId="3B918F4E" w14:textId="77777777" w:rsidR="0005403A" w:rsidRDefault="0005403A" w:rsidP="004D0261">
      <w:pPr>
        <w:spacing w:line="360" w:lineRule="auto"/>
        <w:jc w:val="center"/>
        <w:rPr>
          <w:rFonts w:ascii="Times New Roman" w:eastAsia="MS Mincho" w:hAnsi="Times New Roman" w:cs="Times New Roman"/>
          <w:b/>
          <w:bCs/>
          <w:lang w:val="es-MX"/>
        </w:rPr>
      </w:pPr>
    </w:p>
    <w:p w14:paraId="42DF0CE6" w14:textId="77777777" w:rsidR="0005403A" w:rsidRDefault="0005403A" w:rsidP="004D0261">
      <w:pPr>
        <w:spacing w:line="360" w:lineRule="auto"/>
        <w:jc w:val="center"/>
        <w:rPr>
          <w:rFonts w:ascii="Times New Roman" w:eastAsia="MS Mincho" w:hAnsi="Times New Roman" w:cs="Times New Roman"/>
          <w:b/>
          <w:bCs/>
          <w:lang w:val="es-MX"/>
        </w:rPr>
      </w:pPr>
    </w:p>
    <w:p w14:paraId="707F4CDC" w14:textId="58049543" w:rsidR="004D0261" w:rsidRPr="00B25602" w:rsidRDefault="004D0261" w:rsidP="004D0261">
      <w:pPr>
        <w:spacing w:line="360" w:lineRule="auto"/>
        <w:jc w:val="center"/>
        <w:rPr>
          <w:rFonts w:ascii="Times New Roman" w:eastAsia="MS Mincho" w:hAnsi="Times New Roman" w:cs="Times New Roman"/>
          <w:color w:val="323E4F" w:themeColor="text2" w:themeShade="BF"/>
          <w:lang w:val="es-MX"/>
        </w:rPr>
      </w:pPr>
      <w:r w:rsidRPr="00B25602">
        <w:rPr>
          <w:rFonts w:ascii="Times New Roman" w:eastAsia="MS Mincho" w:hAnsi="Times New Roman" w:cs="Times New Roman"/>
          <w:b/>
          <w:bCs/>
          <w:color w:val="323E4F" w:themeColor="text2" w:themeShade="BF"/>
          <w:lang w:val="es-MX"/>
        </w:rPr>
        <w:t>Gráfica 2: GIDE por sector de ejecución, 2010-2017</w:t>
      </w:r>
    </w:p>
    <w:p w14:paraId="380CB9E8" w14:textId="216BC9AD" w:rsidR="007C2077" w:rsidRPr="007C2077" w:rsidRDefault="00C76584" w:rsidP="00C76584">
      <w:pPr>
        <w:tabs>
          <w:tab w:val="center" w:pos="4986"/>
          <w:tab w:val="right" w:pos="9972"/>
        </w:tabs>
        <w:spacing w:line="360" w:lineRule="auto"/>
        <w:rPr>
          <w:rFonts w:ascii="Times New Roman" w:eastAsia="MS Mincho" w:hAnsi="Times New Roman" w:cs="Times New Roman"/>
        </w:rPr>
      </w:pPr>
      <w:r>
        <w:rPr>
          <w:rFonts w:ascii="Times New Roman" w:eastAsia="MS Mincho" w:hAnsi="Times New Roman" w:cs="Times New Roman"/>
        </w:rPr>
        <w:tab/>
      </w:r>
      <w:r w:rsidR="007C2077" w:rsidRPr="007C2077">
        <w:rPr>
          <w:rFonts w:ascii="Times New Roman" w:eastAsia="MS Mincho" w:hAnsi="Times New Roman" w:cs="Times New Roman"/>
          <w:noProof/>
          <w:lang w:val="es-ES"/>
        </w:rPr>
        <mc:AlternateContent>
          <mc:Choice Requires="wps">
            <w:drawing>
              <wp:anchor distT="45720" distB="45720" distL="114300" distR="114300" simplePos="0" relativeHeight="251658240" behindDoc="0" locked="0" layoutInCell="1" allowOverlap="1" wp14:anchorId="187154AE" wp14:editId="014E777E">
                <wp:simplePos x="0" y="0"/>
                <wp:positionH relativeFrom="column">
                  <wp:posOffset>431377</wp:posOffset>
                </wp:positionH>
                <wp:positionV relativeFrom="paragraph">
                  <wp:posOffset>3271097</wp:posOffset>
                </wp:positionV>
                <wp:extent cx="5477933" cy="38608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933" cy="386080"/>
                        </a:xfrm>
                        <a:prstGeom prst="rect">
                          <a:avLst/>
                        </a:prstGeom>
                        <a:noFill/>
                        <a:ln w="9525">
                          <a:noFill/>
                          <a:miter lim="800000"/>
                          <a:headEnd/>
                          <a:tailEnd/>
                        </a:ln>
                      </wps:spPr>
                      <wps:txbx>
                        <w:txbxContent>
                          <w:p w14:paraId="5848E8A9" w14:textId="77777777" w:rsidR="007A1A58" w:rsidRPr="00927F81" w:rsidRDefault="007A1A58" w:rsidP="007C2077">
                            <w:pPr>
                              <w:rPr>
                                <w:rFonts w:ascii="Times New Roman" w:hAnsi="Times New Roman" w:cs="Times New Roman"/>
                                <w:sz w:val="16"/>
                                <w:szCs w:val="16"/>
                              </w:rPr>
                            </w:pPr>
                            <w:r w:rsidRPr="00927F81">
                              <w:rPr>
                                <w:rFonts w:ascii="Times New Roman" w:hAnsi="Times New Roman" w:cs="Times New Roman"/>
                                <w:sz w:val="16"/>
                                <w:szCs w:val="16"/>
                              </w:rPr>
                              <w:t>/e: Cifras estimadas</w:t>
                            </w:r>
                          </w:p>
                          <w:p w14:paraId="00128233" w14:textId="77777777" w:rsidR="007A1A58" w:rsidRPr="00927F81" w:rsidRDefault="007A1A58" w:rsidP="007C2077">
                            <w:pPr>
                              <w:rPr>
                                <w:rFonts w:ascii="Times New Roman" w:hAnsi="Times New Roman" w:cs="Times New Roman"/>
                                <w:sz w:val="16"/>
                                <w:szCs w:val="16"/>
                              </w:rPr>
                            </w:pPr>
                            <w:r w:rsidRPr="00927F81">
                              <w:rPr>
                                <w:rFonts w:ascii="Times New Roman" w:hAnsi="Times New Roman" w:cs="Times New Roman"/>
                                <w:b/>
                                <w:bCs/>
                                <w:sz w:val="16"/>
                                <w:szCs w:val="16"/>
                              </w:rPr>
                              <w:t>Fuentes:</w:t>
                            </w:r>
                            <w:r w:rsidRPr="00927F81">
                              <w:rPr>
                                <w:rFonts w:ascii="Times New Roman" w:hAnsi="Times New Roman" w:cs="Times New Roman"/>
                                <w:sz w:val="16"/>
                                <w:szCs w:val="16"/>
                              </w:rPr>
                              <w:t xml:space="preserve"> Anexo del Informe general del estado de la ciencia, la tecnología y la innovación, México 2017. CONACYT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154AE" id="Cuadro de texto 2" o:spid="_x0000_s1029" type="#_x0000_t202" style="position:absolute;margin-left:33.95pt;margin-top:257.55pt;width:431.35pt;height:30.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" filled="f" stroked="f">
                <v:textbox>
                  <w:txbxContent>
                    <w:p w14:paraId="5848E8A9" w14:textId="77777777" w:rsidR="007A1A58" w:rsidRPr="00927F81" w:rsidRDefault="007A1A58" w:rsidP="007C2077">
                      <w:pPr>
                        <w:rPr>
                          <w:rFonts w:ascii="Times New Roman" w:hAnsi="Times New Roman" w:cs="Times New Roman"/>
                          <w:sz w:val="16"/>
                          <w:szCs w:val="16"/>
                        </w:rPr>
                      </w:pPr>
                      <w:r w:rsidRPr="00927F81">
                        <w:rPr>
                          <w:rFonts w:ascii="Times New Roman" w:hAnsi="Times New Roman" w:cs="Times New Roman"/>
                          <w:sz w:val="16"/>
                          <w:szCs w:val="16"/>
                        </w:rPr>
                        <w:t>/e: Cifras estimadas</w:t>
                      </w:r>
                    </w:p>
                    <w:p w14:paraId="00128233" w14:textId="77777777" w:rsidR="007A1A58" w:rsidRPr="00927F81" w:rsidRDefault="007A1A58" w:rsidP="007C2077">
                      <w:pPr>
                        <w:rPr>
                          <w:rFonts w:ascii="Times New Roman" w:hAnsi="Times New Roman" w:cs="Times New Roman"/>
                          <w:sz w:val="16"/>
                          <w:szCs w:val="16"/>
                        </w:rPr>
                      </w:pPr>
                      <w:r w:rsidRPr="00927F81">
                        <w:rPr>
                          <w:rFonts w:ascii="Times New Roman" w:hAnsi="Times New Roman" w:cs="Times New Roman"/>
                          <w:b/>
                          <w:bCs/>
                          <w:sz w:val="16"/>
                          <w:szCs w:val="16"/>
                        </w:rPr>
                        <w:t>Fuentes:</w:t>
                      </w:r>
                      <w:r w:rsidRPr="00927F81">
                        <w:rPr>
                          <w:rFonts w:ascii="Times New Roman" w:hAnsi="Times New Roman" w:cs="Times New Roman"/>
                          <w:sz w:val="16"/>
                          <w:szCs w:val="16"/>
                        </w:rPr>
                        <w:t xml:space="preserve"> Anexo del Informe general del estado de la ciencia, la tecnología y la innovación, México 2017. CONACYT</w:t>
                      </w:r>
                    </w:p>
                  </w:txbxContent>
                </v:textbox>
              </v:shape>
            </w:pict>
          </mc:Fallback>
        </mc:AlternateContent>
      </w:r>
      <w:r w:rsidR="007C2077" w:rsidRPr="007C2077">
        <w:rPr>
          <w:rFonts w:ascii="Calibri" w:eastAsia="Times New Roman" w:hAnsi="Calibri" w:cs="Times New Roman"/>
          <w:noProof/>
          <w:lang w:val="es-ES"/>
        </w:rPr>
        <w:drawing>
          <wp:inline distT="0" distB="0" distL="0" distR="0" wp14:anchorId="411BD98F" wp14:editId="3A4AD1F9">
            <wp:extent cx="5399405" cy="3265200"/>
            <wp:effectExtent l="0" t="0" r="10795" b="1143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eastAsia="MS Mincho" w:hAnsi="Times New Roman" w:cs="Times New Roman"/>
        </w:rPr>
        <w:tab/>
      </w:r>
    </w:p>
    <w:p w14:paraId="01B83728" w14:textId="77777777" w:rsidR="0005403A" w:rsidRDefault="0005403A" w:rsidP="002C2BC1">
      <w:pPr>
        <w:spacing w:before="200" w:after="120" w:line="360" w:lineRule="auto"/>
        <w:jc w:val="both"/>
        <w:rPr>
          <w:rFonts w:ascii="Times New Roman" w:eastAsia="MS Mincho" w:hAnsi="Times New Roman" w:cs="Times New Roman"/>
        </w:rPr>
      </w:pPr>
      <w:bookmarkStart w:id="9" w:name="_Toc453695397"/>
      <w:bookmarkStart w:id="10" w:name="_Toc453695822"/>
      <w:bookmarkStart w:id="11" w:name="_Toc453695906"/>
      <w:bookmarkStart w:id="12" w:name="_Toc453749474"/>
    </w:p>
    <w:p w14:paraId="7BB46ECD" w14:textId="5A336BB7" w:rsidR="007C2077" w:rsidRPr="007C2077" w:rsidRDefault="007C2077" w:rsidP="002C2BC1">
      <w:pPr>
        <w:spacing w:before="200" w:after="120" w:line="360" w:lineRule="auto"/>
        <w:jc w:val="both"/>
        <w:rPr>
          <w:rFonts w:ascii="Times New Roman" w:eastAsia="MS Mincho" w:hAnsi="Times New Roman" w:cs="Times New Roman"/>
          <w:b/>
        </w:rPr>
      </w:pPr>
      <w:r w:rsidRPr="007C2077">
        <w:rPr>
          <w:rFonts w:ascii="Times New Roman" w:eastAsia="MS Mincho" w:hAnsi="Times New Roman" w:cs="Times New Roman"/>
        </w:rPr>
        <w:t>Si bien, el gobierno, con sus fondos públicos, constituye la mayor fuente de financiamiento para las actividades de investigación aplicada, desarrollo tecnológico e innovación; el flujo total en IDE se distribuye entre los otros dos grupos (productivo y de educación superior) de modo proporcional. En este sentido, los recursos públicos sostienen en gran medida la investigación, el desarrollo tecnológico y la innovación. Conviene revisar la necesidad de una mayor participación de fondos privados en estas áreas para frenar la cuasi dependencia del financiamiento público y elevar el volumen de inversión en general.</w:t>
      </w:r>
      <w:bookmarkEnd w:id="9"/>
      <w:bookmarkEnd w:id="10"/>
      <w:bookmarkEnd w:id="11"/>
      <w:bookmarkEnd w:id="12"/>
      <w:r w:rsidRPr="007C2077">
        <w:rPr>
          <w:rFonts w:ascii="Times New Roman" w:eastAsia="MS Mincho" w:hAnsi="Times New Roman" w:cs="Times New Roman"/>
        </w:rPr>
        <w:t xml:space="preserve"> </w:t>
      </w:r>
    </w:p>
    <w:p w14:paraId="375E51EC" w14:textId="5946B143" w:rsidR="007C2077" w:rsidRPr="00813B8F" w:rsidRDefault="007C2077" w:rsidP="002336F8">
      <w:pPr>
        <w:pStyle w:val="Ttulo3"/>
        <w:spacing w:before="100" w:beforeAutospacing="1"/>
        <w:rPr>
          <w:rFonts w:ascii="Times New Roman" w:eastAsia="Times New Roman" w:hAnsi="Times New Roman" w:cs="Times New Roman"/>
          <w:b/>
          <w:bCs/>
        </w:rPr>
      </w:pPr>
      <w:bookmarkStart w:id="13" w:name="_Toc453749475"/>
      <w:bookmarkStart w:id="14" w:name="_Toc32920318"/>
      <w:r w:rsidRPr="005376DC">
        <w:rPr>
          <w:rFonts w:ascii="Times New Roman" w:eastAsia="Times New Roman" w:hAnsi="Times New Roman" w:cs="Times New Roman"/>
          <w:b/>
          <w:bCs/>
        </w:rPr>
        <w:t>II.2.1. Recursos humanos calificados para realizar actividades de IDTI</w:t>
      </w:r>
      <w:bookmarkEnd w:id="13"/>
      <w:bookmarkEnd w:id="14"/>
    </w:p>
    <w:p w14:paraId="7400BFC7" w14:textId="0F775991" w:rsidR="005376DC" w:rsidRDefault="007C2077" w:rsidP="0005403A">
      <w:pPr>
        <w:spacing w:before="100" w:beforeAutospacing="1" w:line="360" w:lineRule="auto"/>
        <w:jc w:val="both"/>
        <w:rPr>
          <w:rFonts w:ascii="Times New Roman" w:eastAsia="MS Mincho" w:hAnsi="Times New Roman" w:cs="Times New Roman"/>
        </w:rPr>
      </w:pPr>
      <w:r w:rsidRPr="007C2077">
        <w:rPr>
          <w:rFonts w:ascii="Times New Roman" w:eastAsia="MS Mincho" w:hAnsi="Times New Roman" w:cs="Times New Roman"/>
        </w:rPr>
        <w:t xml:space="preserve">El principal recurso con el que se cuenta para realizar actividades de investigación aplicada, desarrollo tecnológico e innovación son los recursos humanos altamente calificados con formación en maestría, doctorados y posdoctorado. En el periodo 2010 – 2017, se ha presentado un incremento de la población </w:t>
      </w:r>
      <w:r w:rsidRPr="007C2077">
        <w:rPr>
          <w:rFonts w:ascii="Times New Roman" w:eastAsia="MS Mincho" w:hAnsi="Times New Roman" w:cs="Times New Roman"/>
        </w:rPr>
        <w:lastRenderedPageBreak/>
        <w:t>que posee una alta formación y está ocupada en actividades de ciencia y tecnología. Para el año 2017, la mayor parte de esta población está vinculada a actividades profesionales; en tanto le siguen las actividades técnicas. Véase la gráfica 3:</w:t>
      </w:r>
    </w:p>
    <w:p w14:paraId="1F692EBB" w14:textId="77777777" w:rsidR="0005403A" w:rsidRDefault="0005403A" w:rsidP="005376DC">
      <w:pPr>
        <w:jc w:val="center"/>
        <w:rPr>
          <w:rFonts w:ascii="Times New Roman" w:eastAsia="MS Mincho" w:hAnsi="Times New Roman" w:cs="Times New Roman"/>
          <w:b/>
          <w:bCs/>
          <w:lang w:val="es-MX"/>
        </w:rPr>
      </w:pPr>
    </w:p>
    <w:p w14:paraId="082779AA" w14:textId="3437C8BF" w:rsidR="00FB0116" w:rsidRPr="00B25602" w:rsidRDefault="005376DC" w:rsidP="005376DC">
      <w:pPr>
        <w:jc w:val="center"/>
        <w:rPr>
          <w:rFonts w:ascii="Times New Roman" w:eastAsia="MS Mincho" w:hAnsi="Times New Roman" w:cs="Times New Roman"/>
          <w:b/>
          <w:bCs/>
          <w:color w:val="323E4F" w:themeColor="text2" w:themeShade="BF"/>
          <w:lang w:val="es-MX"/>
        </w:rPr>
      </w:pPr>
      <w:r w:rsidRPr="00B25602">
        <w:rPr>
          <w:rFonts w:ascii="Times New Roman" w:eastAsia="MS Mincho" w:hAnsi="Times New Roman" w:cs="Times New Roman"/>
          <w:b/>
          <w:bCs/>
          <w:color w:val="323E4F" w:themeColor="text2" w:themeShade="BF"/>
          <w:lang w:val="es-MX"/>
        </w:rPr>
        <w:t xml:space="preserve">Grafica 3: Distribución de la población que completó el nivel de educación ISCED 5 </w:t>
      </w:r>
    </w:p>
    <w:p w14:paraId="25AB99D8" w14:textId="54EC4BDE" w:rsidR="005376DC" w:rsidRPr="00B25602" w:rsidRDefault="005376DC" w:rsidP="005376DC">
      <w:pPr>
        <w:jc w:val="center"/>
        <w:rPr>
          <w:rFonts w:ascii="Times New Roman" w:eastAsia="MS Mincho" w:hAnsi="Times New Roman" w:cs="Times New Roman"/>
          <w:b/>
          <w:bCs/>
          <w:color w:val="323E4F" w:themeColor="text2" w:themeShade="BF"/>
          <w:lang w:val="es-MX"/>
        </w:rPr>
      </w:pPr>
      <w:r w:rsidRPr="00B25602">
        <w:rPr>
          <w:rFonts w:ascii="Times New Roman" w:eastAsia="MS Mincho" w:hAnsi="Times New Roman" w:cs="Times New Roman"/>
          <w:b/>
          <w:bCs/>
          <w:color w:val="323E4F" w:themeColor="text2" w:themeShade="BF"/>
          <w:lang w:val="es-MX"/>
        </w:rPr>
        <w:t xml:space="preserve">o superior y está ocupada en actividades de ciencia y tecnología, 2010-2017 </w:t>
      </w:r>
    </w:p>
    <w:p w14:paraId="4BF0D0DF" w14:textId="6A038FAC" w:rsidR="005376DC" w:rsidRPr="00B25602" w:rsidRDefault="005376DC" w:rsidP="005376DC">
      <w:pPr>
        <w:jc w:val="center"/>
        <w:rPr>
          <w:rFonts w:ascii="Times New Roman" w:eastAsia="MS Mincho" w:hAnsi="Times New Roman" w:cs="Times New Roman"/>
          <w:color w:val="323E4F" w:themeColor="text2" w:themeShade="BF"/>
          <w:lang w:val="es-MX"/>
        </w:rPr>
      </w:pPr>
      <w:r w:rsidRPr="00B25602">
        <w:rPr>
          <w:rFonts w:ascii="Times New Roman" w:eastAsia="MS Mincho" w:hAnsi="Times New Roman" w:cs="Times New Roman"/>
          <w:b/>
          <w:bCs/>
          <w:color w:val="323E4F" w:themeColor="text2" w:themeShade="BF"/>
          <w:lang w:val="es-MX"/>
        </w:rPr>
        <w:t>(Número de personas)</w:t>
      </w:r>
    </w:p>
    <w:p w14:paraId="3879948A" w14:textId="0A5FA949" w:rsidR="007C2077" w:rsidRPr="007C2077" w:rsidRDefault="00FB0116" w:rsidP="007C2077">
      <w:pPr>
        <w:spacing w:line="360" w:lineRule="auto"/>
        <w:jc w:val="both"/>
        <w:rPr>
          <w:rFonts w:ascii="Times New Roman" w:eastAsia="MS Mincho" w:hAnsi="Times New Roman" w:cs="Times New Roman"/>
        </w:rPr>
      </w:pPr>
      <w:r>
        <w:rPr>
          <w:rFonts w:ascii="Times New Roman" w:eastAsia="MS Mincho" w:hAnsi="Times New Roman" w:cs="Times New Roman"/>
          <w:noProof/>
        </w:rPr>
        <mc:AlternateContent>
          <mc:Choice Requires="wpg">
            <w:drawing>
              <wp:anchor distT="0" distB="0" distL="114300" distR="114300" simplePos="0" relativeHeight="251667456" behindDoc="0" locked="0" layoutInCell="1" allowOverlap="1" wp14:anchorId="12EE185C" wp14:editId="3529DB1F">
                <wp:simplePos x="0" y="0"/>
                <wp:positionH relativeFrom="column">
                  <wp:posOffset>410210</wp:posOffset>
                </wp:positionH>
                <wp:positionV relativeFrom="paragraph">
                  <wp:posOffset>13335</wp:posOffset>
                </wp:positionV>
                <wp:extent cx="5450205" cy="3053531"/>
                <wp:effectExtent l="0" t="0" r="17145" b="0"/>
                <wp:wrapNone/>
                <wp:docPr id="5" name="Grupo 5"/>
                <wp:cNvGraphicFramePr/>
                <a:graphic xmlns:a="http://schemas.openxmlformats.org/drawingml/2006/main">
                  <a:graphicData uri="http://schemas.microsoft.com/office/word/2010/wordprocessingGroup">
                    <wpg:wgp>
                      <wpg:cNvGrpSpPr/>
                      <wpg:grpSpPr>
                        <a:xfrm>
                          <a:off x="0" y="0"/>
                          <a:ext cx="5450205" cy="3053531"/>
                          <a:chOff x="-50800" y="0"/>
                          <a:chExt cx="5450205" cy="3053531"/>
                        </a:xfrm>
                      </wpg:grpSpPr>
                      <wpg:graphicFrame>
                        <wpg:cNvPr id="36" name="Gráfico 36"/>
                        <wpg:cNvFrPr/>
                        <wpg:xfrm>
                          <a:off x="0" y="0"/>
                          <a:ext cx="5399405" cy="2700000"/>
                        </wpg:xfrm>
                        <a:graphic>
                          <a:graphicData uri="http://schemas.openxmlformats.org/drawingml/2006/chart">
                            <c:chart xmlns:c="http://schemas.openxmlformats.org/drawingml/2006/chart" xmlns:r="http://schemas.openxmlformats.org/officeDocument/2006/relationships" r:id="rId12"/>
                          </a:graphicData>
                        </a:graphic>
                      </wpg:graphicFrame>
                      <wps:wsp>
                        <wps:cNvPr id="3" name="Cuadro de texto 3"/>
                        <wps:cNvSpPr txBox="1">
                          <a:spLocks noChangeArrowheads="1"/>
                        </wps:cNvSpPr>
                        <wps:spPr bwMode="auto">
                          <a:xfrm>
                            <a:off x="-50800" y="2667000"/>
                            <a:ext cx="5159293" cy="386531"/>
                          </a:xfrm>
                          <a:prstGeom prst="rect">
                            <a:avLst/>
                          </a:prstGeom>
                          <a:noFill/>
                          <a:ln w="9525">
                            <a:noFill/>
                            <a:miter lim="800000"/>
                            <a:headEnd/>
                            <a:tailEnd/>
                          </a:ln>
                        </wps:spPr>
                        <wps:txbx>
                          <w:txbxContent>
                            <w:p w14:paraId="736BCADD" w14:textId="77777777" w:rsidR="007A1A58" w:rsidRPr="00927F81" w:rsidRDefault="007A1A58" w:rsidP="005376DC">
                              <w:pPr>
                                <w:rPr>
                                  <w:rFonts w:ascii="Times New Roman" w:hAnsi="Times New Roman" w:cs="Times New Roman"/>
                                  <w:sz w:val="28"/>
                                  <w:szCs w:val="28"/>
                                </w:rPr>
                              </w:pPr>
                              <w:r w:rsidRPr="00927F81">
                                <w:rPr>
                                  <w:rFonts w:ascii="Times New Roman" w:eastAsia="MS Mincho" w:hAnsi="Times New Roman" w:cs="Times New Roman"/>
                                  <w:color w:val="000000"/>
                                  <w:sz w:val="16"/>
                                  <w:szCs w:val="16"/>
                                </w:rPr>
                                <w:t>/e: Cifras estimadas</w:t>
                              </w:r>
                            </w:p>
                            <w:p w14:paraId="095280CA" w14:textId="77777777" w:rsidR="007A1A58" w:rsidRPr="00927F81" w:rsidRDefault="007A1A58" w:rsidP="005376DC">
                              <w:pPr>
                                <w:rPr>
                                  <w:rFonts w:ascii="Times New Roman" w:hAnsi="Times New Roman" w:cs="Times New Roman"/>
                                  <w:sz w:val="28"/>
                                  <w:szCs w:val="28"/>
                                </w:rPr>
                              </w:pPr>
                              <w:r w:rsidRPr="00927F81">
                                <w:rPr>
                                  <w:rFonts w:ascii="Times New Roman" w:eastAsia="MS Mincho" w:hAnsi="Times New Roman" w:cs="Times New Roman"/>
                                  <w:b/>
                                  <w:bCs/>
                                  <w:color w:val="000000"/>
                                  <w:sz w:val="16"/>
                                  <w:szCs w:val="16"/>
                                </w:rPr>
                                <w:t>Fuentes:</w:t>
                              </w:r>
                              <w:r w:rsidRPr="00927F81">
                                <w:rPr>
                                  <w:rFonts w:ascii="Times New Roman" w:eastAsia="MS Mincho" w:hAnsi="Times New Roman" w:cs="Times New Roman"/>
                                  <w:color w:val="000000"/>
                                  <w:sz w:val="16"/>
                                  <w:szCs w:val="16"/>
                                </w:rPr>
                                <w:t xml:space="preserve"> Anexo del Informe general del estado de la ciencia, la tecnología y la innovación, México 2017. CONACYT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EE185C" id="Grupo 5" o:spid="_x0000_s1030" style="position:absolute;left:0;text-align:left;margin-left:32.3pt;margin-top:1.05pt;width:429.15pt;height:240.45pt;z-index:251667456;mso-width-relative:margin;mso-height-relative:margin" coordorigin="-508" coordsize="54502,3053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">
                <v:shape id="Gráfico 36" o:spid="_x0000_s1031" type="#_x0000_t75" style="position:absolute;left:-81;top:-60;width:54132;height:271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">
                  <v:imagedata r:id="rId13" o:title=""/>
                  <o:lock v:ext="edit" aspectratio="f"/>
                </v:shape>
                <v:shape id="Cuadro de texto 3" o:spid="_x0000_s1032" type="#_x0000_t202" style="position:absolute;left:-508;top:26670;width:51592;height: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36BCADD" w14:textId="77777777" w:rsidR="007A1A58" w:rsidRPr="00927F81" w:rsidRDefault="007A1A58" w:rsidP="005376DC">
                        <w:pPr>
                          <w:rPr>
                            <w:rFonts w:ascii="Times New Roman" w:hAnsi="Times New Roman" w:cs="Times New Roman"/>
                            <w:sz w:val="28"/>
                            <w:szCs w:val="28"/>
                          </w:rPr>
                        </w:pPr>
                        <w:r w:rsidRPr="00927F81">
                          <w:rPr>
                            <w:rFonts w:ascii="Times New Roman" w:eastAsia="MS Mincho" w:hAnsi="Times New Roman" w:cs="Times New Roman"/>
                            <w:color w:val="000000"/>
                            <w:sz w:val="16"/>
                            <w:szCs w:val="16"/>
                          </w:rPr>
                          <w:t>/e: Cifras estimadas</w:t>
                        </w:r>
                      </w:p>
                      <w:p w14:paraId="095280CA" w14:textId="77777777" w:rsidR="007A1A58" w:rsidRPr="00927F81" w:rsidRDefault="007A1A58" w:rsidP="005376DC">
                        <w:pPr>
                          <w:rPr>
                            <w:rFonts w:ascii="Times New Roman" w:hAnsi="Times New Roman" w:cs="Times New Roman"/>
                            <w:sz w:val="28"/>
                            <w:szCs w:val="28"/>
                          </w:rPr>
                        </w:pPr>
                        <w:r w:rsidRPr="00927F81">
                          <w:rPr>
                            <w:rFonts w:ascii="Times New Roman" w:eastAsia="MS Mincho" w:hAnsi="Times New Roman" w:cs="Times New Roman"/>
                            <w:b/>
                            <w:bCs/>
                            <w:color w:val="000000"/>
                            <w:sz w:val="16"/>
                            <w:szCs w:val="16"/>
                          </w:rPr>
                          <w:t>Fuentes:</w:t>
                        </w:r>
                        <w:r w:rsidRPr="00927F81">
                          <w:rPr>
                            <w:rFonts w:ascii="Times New Roman" w:eastAsia="MS Mincho" w:hAnsi="Times New Roman" w:cs="Times New Roman"/>
                            <w:color w:val="000000"/>
                            <w:sz w:val="16"/>
                            <w:szCs w:val="16"/>
                          </w:rPr>
                          <w:t xml:space="preserve"> Anexo del Informe general del estado de la ciencia, la tecnología y la innovación, México 2017. CONACYT</w:t>
                        </w:r>
                      </w:p>
                    </w:txbxContent>
                  </v:textbox>
                </v:shape>
              </v:group>
            </w:pict>
          </mc:Fallback>
        </mc:AlternateContent>
      </w:r>
    </w:p>
    <w:p w14:paraId="2B4448C0" w14:textId="77777777" w:rsidR="007C2077" w:rsidRPr="007C2077" w:rsidRDefault="007C2077" w:rsidP="007C2077">
      <w:pPr>
        <w:spacing w:line="360" w:lineRule="auto"/>
        <w:jc w:val="both"/>
        <w:rPr>
          <w:rFonts w:ascii="Times New Roman" w:eastAsia="MS Mincho" w:hAnsi="Times New Roman" w:cs="Times New Roman"/>
          <w:b/>
        </w:rPr>
      </w:pPr>
    </w:p>
    <w:p w14:paraId="75A7C6B0" w14:textId="5EE6DC50" w:rsidR="007C2077" w:rsidRPr="007C2077" w:rsidRDefault="007C2077" w:rsidP="007C2077">
      <w:pPr>
        <w:spacing w:line="360" w:lineRule="auto"/>
        <w:jc w:val="both"/>
        <w:rPr>
          <w:rFonts w:ascii="Times New Roman" w:eastAsia="MS Mincho" w:hAnsi="Times New Roman" w:cs="Times New Roman"/>
        </w:rPr>
      </w:pPr>
      <w:r w:rsidRPr="007C2077" w:rsidDel="00AF2A0A">
        <w:rPr>
          <w:rFonts w:ascii="Times New Roman" w:eastAsia="MS Mincho" w:hAnsi="Times New Roman" w:cs="Times New Roman"/>
          <w:noProof/>
          <w:lang w:val="es-MX" w:eastAsia="es-MX"/>
        </w:rPr>
        <w:t xml:space="preserve"> </w:t>
      </w:r>
    </w:p>
    <w:p w14:paraId="086F9EB1" w14:textId="77777777" w:rsidR="00C50A0F" w:rsidRDefault="00C50A0F" w:rsidP="007C2077">
      <w:pPr>
        <w:spacing w:line="360" w:lineRule="auto"/>
        <w:jc w:val="both"/>
        <w:rPr>
          <w:rFonts w:ascii="Times New Roman" w:eastAsia="MS Mincho" w:hAnsi="Times New Roman" w:cs="Times New Roman"/>
        </w:rPr>
      </w:pPr>
    </w:p>
    <w:p w14:paraId="4F091244" w14:textId="77777777" w:rsidR="005376DC" w:rsidRDefault="005376DC" w:rsidP="007C2077">
      <w:pPr>
        <w:spacing w:line="360" w:lineRule="auto"/>
        <w:jc w:val="both"/>
        <w:rPr>
          <w:rFonts w:ascii="Times New Roman" w:eastAsia="MS Mincho" w:hAnsi="Times New Roman" w:cs="Times New Roman"/>
        </w:rPr>
      </w:pPr>
    </w:p>
    <w:p w14:paraId="0FCF42DB" w14:textId="77777777" w:rsidR="005376DC" w:rsidRDefault="005376DC" w:rsidP="007C2077">
      <w:pPr>
        <w:spacing w:line="360" w:lineRule="auto"/>
        <w:jc w:val="both"/>
        <w:rPr>
          <w:rFonts w:ascii="Times New Roman" w:eastAsia="MS Mincho" w:hAnsi="Times New Roman" w:cs="Times New Roman"/>
        </w:rPr>
      </w:pPr>
    </w:p>
    <w:p w14:paraId="69B2F7F4" w14:textId="77777777" w:rsidR="005376DC" w:rsidRDefault="005376DC" w:rsidP="007C2077">
      <w:pPr>
        <w:spacing w:line="360" w:lineRule="auto"/>
        <w:jc w:val="both"/>
        <w:rPr>
          <w:rFonts w:ascii="Times New Roman" w:eastAsia="MS Mincho" w:hAnsi="Times New Roman" w:cs="Times New Roman"/>
        </w:rPr>
      </w:pPr>
    </w:p>
    <w:p w14:paraId="3CDB013F" w14:textId="77777777" w:rsidR="005376DC" w:rsidRDefault="005376DC" w:rsidP="007C2077">
      <w:pPr>
        <w:spacing w:line="360" w:lineRule="auto"/>
        <w:jc w:val="both"/>
        <w:rPr>
          <w:rFonts w:ascii="Times New Roman" w:eastAsia="MS Mincho" w:hAnsi="Times New Roman" w:cs="Times New Roman"/>
        </w:rPr>
      </w:pPr>
    </w:p>
    <w:p w14:paraId="78169A6E" w14:textId="2186E9FF" w:rsidR="005376DC" w:rsidRDefault="005376DC" w:rsidP="007C2077">
      <w:pPr>
        <w:spacing w:line="360" w:lineRule="auto"/>
        <w:jc w:val="both"/>
        <w:rPr>
          <w:rFonts w:ascii="Times New Roman" w:eastAsia="MS Mincho" w:hAnsi="Times New Roman" w:cs="Times New Roman"/>
        </w:rPr>
      </w:pPr>
    </w:p>
    <w:p w14:paraId="1C9EEFA5" w14:textId="77777777" w:rsidR="00DB1A6A" w:rsidRDefault="00DB1A6A" w:rsidP="00FB0116">
      <w:pPr>
        <w:spacing w:line="360" w:lineRule="auto"/>
        <w:jc w:val="both"/>
        <w:rPr>
          <w:rFonts w:ascii="Times New Roman" w:eastAsia="MS Mincho" w:hAnsi="Times New Roman" w:cs="Times New Roman"/>
        </w:rPr>
      </w:pPr>
    </w:p>
    <w:p w14:paraId="1A9BD63D" w14:textId="77777777" w:rsidR="0005403A" w:rsidRDefault="0005403A" w:rsidP="00FB0116">
      <w:pPr>
        <w:spacing w:line="360" w:lineRule="auto"/>
        <w:jc w:val="both"/>
        <w:rPr>
          <w:rFonts w:ascii="Times New Roman" w:eastAsia="MS Mincho" w:hAnsi="Times New Roman" w:cs="Times New Roman"/>
        </w:rPr>
      </w:pPr>
    </w:p>
    <w:p w14:paraId="4EE976C3" w14:textId="77777777" w:rsidR="0005403A" w:rsidRDefault="0005403A" w:rsidP="00FB0116">
      <w:pPr>
        <w:spacing w:line="360" w:lineRule="auto"/>
        <w:jc w:val="both"/>
        <w:rPr>
          <w:rFonts w:ascii="Times New Roman" w:eastAsia="MS Mincho" w:hAnsi="Times New Roman" w:cs="Times New Roman"/>
        </w:rPr>
      </w:pPr>
    </w:p>
    <w:p w14:paraId="2AF3C943" w14:textId="77777777" w:rsidR="0005403A" w:rsidRDefault="0005403A" w:rsidP="00FB0116">
      <w:pPr>
        <w:spacing w:line="360" w:lineRule="auto"/>
        <w:jc w:val="both"/>
        <w:rPr>
          <w:rFonts w:ascii="Times New Roman" w:eastAsia="MS Mincho" w:hAnsi="Times New Roman" w:cs="Times New Roman"/>
        </w:rPr>
      </w:pPr>
    </w:p>
    <w:p w14:paraId="26711976" w14:textId="21328A63" w:rsidR="00FB0116" w:rsidRDefault="00FB0116" w:rsidP="00FB0116">
      <w:pPr>
        <w:spacing w:line="360" w:lineRule="auto"/>
        <w:jc w:val="both"/>
        <w:rPr>
          <w:rFonts w:ascii="Times New Roman" w:eastAsia="MS Mincho" w:hAnsi="Times New Roman" w:cs="Times New Roman"/>
        </w:rPr>
      </w:pPr>
      <w:r>
        <w:rPr>
          <w:rFonts w:ascii="Times New Roman" w:eastAsia="MS Mincho" w:hAnsi="Times New Roman" w:cs="Times New Roman"/>
        </w:rPr>
        <w:t>P</w:t>
      </w:r>
      <w:r w:rsidR="007C2077" w:rsidRPr="007C2077">
        <w:rPr>
          <w:rFonts w:ascii="Times New Roman" w:eastAsia="MS Mincho" w:hAnsi="Times New Roman" w:cs="Times New Roman"/>
        </w:rPr>
        <w:t xml:space="preserve">or su parte, la gráfica </w:t>
      </w:r>
      <w:r>
        <w:rPr>
          <w:rFonts w:ascii="Times New Roman" w:eastAsia="MS Mincho" w:hAnsi="Times New Roman" w:cs="Times New Roman"/>
        </w:rPr>
        <w:t>4</w:t>
      </w:r>
      <w:r w:rsidR="007C2077" w:rsidRPr="007C2077">
        <w:rPr>
          <w:rFonts w:ascii="Times New Roman" w:eastAsia="MS Mincho" w:hAnsi="Times New Roman" w:cs="Times New Roman"/>
        </w:rPr>
        <w:t xml:space="preserve"> ilustra que el grueso de la población especializada y ocupada cuenta el grado académico de licenciatura. En tanto, la gráfica </w:t>
      </w:r>
      <w:r w:rsidR="00954EF3">
        <w:rPr>
          <w:rFonts w:ascii="Times New Roman" w:eastAsia="MS Mincho" w:hAnsi="Times New Roman" w:cs="Times New Roman"/>
        </w:rPr>
        <w:t>5</w:t>
      </w:r>
      <w:r w:rsidR="007C2077" w:rsidRPr="007C2077">
        <w:rPr>
          <w:rFonts w:ascii="Times New Roman" w:eastAsia="MS Mincho" w:hAnsi="Times New Roman" w:cs="Times New Roman"/>
        </w:rPr>
        <w:t xml:space="preserve"> refuerza la importancia de los centros educativos y universidades como núcleos de formación universitaria y de capacidades en CTI, pues la mayor parte del personal especializado está ocupado en estos sitios. Esta relación en apariencia cerrada (formación y práctica profesional dentro de las Universidades y Centros Públicos de Investigación) conserva un alto potencial si se llegase a vincular con los otros dos grupos.</w:t>
      </w:r>
      <w:r>
        <w:rPr>
          <w:rFonts w:ascii="Times New Roman" w:eastAsia="MS Mincho" w:hAnsi="Times New Roman" w:cs="Times New Roman"/>
        </w:rPr>
        <w:t xml:space="preserve"> </w:t>
      </w:r>
    </w:p>
    <w:p w14:paraId="3EB3D685" w14:textId="657CEC40" w:rsidR="00DB1A6A" w:rsidRDefault="00DB1A6A" w:rsidP="00FB0116">
      <w:pPr>
        <w:spacing w:line="360" w:lineRule="auto"/>
        <w:jc w:val="both"/>
        <w:rPr>
          <w:rFonts w:ascii="Times New Roman" w:eastAsia="MS Mincho" w:hAnsi="Times New Roman" w:cs="Times New Roman"/>
        </w:rPr>
      </w:pPr>
    </w:p>
    <w:p w14:paraId="04803616" w14:textId="45A78D82" w:rsidR="0005403A" w:rsidRDefault="0005403A" w:rsidP="00FB0116">
      <w:pPr>
        <w:spacing w:line="360" w:lineRule="auto"/>
        <w:jc w:val="both"/>
        <w:rPr>
          <w:rFonts w:ascii="Times New Roman" w:eastAsia="MS Mincho" w:hAnsi="Times New Roman" w:cs="Times New Roman"/>
        </w:rPr>
      </w:pPr>
    </w:p>
    <w:p w14:paraId="47EC91D0" w14:textId="77777777" w:rsidR="0005403A" w:rsidRDefault="0005403A" w:rsidP="00FB0116">
      <w:pPr>
        <w:spacing w:line="360" w:lineRule="auto"/>
        <w:jc w:val="both"/>
        <w:rPr>
          <w:rFonts w:ascii="Times New Roman" w:eastAsia="MS Mincho" w:hAnsi="Times New Roman" w:cs="Times New Roman"/>
        </w:rPr>
      </w:pPr>
    </w:p>
    <w:p w14:paraId="6B8A470E" w14:textId="77777777" w:rsidR="0005403A" w:rsidRDefault="0005403A" w:rsidP="00FB0116">
      <w:pPr>
        <w:jc w:val="center"/>
        <w:rPr>
          <w:rFonts w:ascii="Times New Roman" w:eastAsia="MS Mincho" w:hAnsi="Times New Roman" w:cs="Times New Roman"/>
          <w:b/>
          <w:bCs/>
          <w:lang w:val="es-MX"/>
        </w:rPr>
      </w:pPr>
    </w:p>
    <w:p w14:paraId="2CC816BD" w14:textId="77777777" w:rsidR="0005403A" w:rsidRDefault="0005403A" w:rsidP="00FB0116">
      <w:pPr>
        <w:jc w:val="center"/>
        <w:rPr>
          <w:rFonts w:ascii="Times New Roman" w:eastAsia="MS Mincho" w:hAnsi="Times New Roman" w:cs="Times New Roman"/>
          <w:b/>
          <w:bCs/>
          <w:lang w:val="es-MX"/>
        </w:rPr>
      </w:pPr>
    </w:p>
    <w:p w14:paraId="1D414456" w14:textId="32D4E7A9" w:rsidR="00FB0116" w:rsidRPr="00B25602" w:rsidRDefault="00FB0116" w:rsidP="00FB0116">
      <w:pPr>
        <w:jc w:val="center"/>
        <w:rPr>
          <w:rFonts w:ascii="Times New Roman" w:eastAsia="MS Mincho" w:hAnsi="Times New Roman" w:cs="Times New Roman"/>
          <w:b/>
          <w:bCs/>
          <w:color w:val="323E4F" w:themeColor="text2" w:themeShade="BF"/>
          <w:lang w:val="es-MX"/>
        </w:rPr>
      </w:pPr>
      <w:r w:rsidRPr="00B25602">
        <w:rPr>
          <w:rFonts w:ascii="Times New Roman" w:eastAsia="MS Mincho" w:hAnsi="Times New Roman" w:cs="Times New Roman"/>
          <w:b/>
          <w:bCs/>
          <w:color w:val="323E4F" w:themeColor="text2" w:themeShade="BF"/>
          <w:lang w:val="es-MX"/>
        </w:rPr>
        <w:t xml:space="preserve">Gráfica 4: Distribución de la población que completó el nivel de educación ISCED 5 </w:t>
      </w:r>
    </w:p>
    <w:p w14:paraId="5E6339EC" w14:textId="674DB5AC" w:rsidR="00FB0116" w:rsidRPr="00B25602" w:rsidRDefault="00FB0116" w:rsidP="00FB0116">
      <w:pPr>
        <w:jc w:val="center"/>
        <w:rPr>
          <w:rFonts w:ascii="Times New Roman" w:eastAsia="MS Mincho" w:hAnsi="Times New Roman" w:cs="Times New Roman"/>
          <w:b/>
          <w:bCs/>
          <w:color w:val="323E4F" w:themeColor="text2" w:themeShade="BF"/>
          <w:lang w:val="es-MX"/>
        </w:rPr>
      </w:pPr>
      <w:r w:rsidRPr="00B25602">
        <w:rPr>
          <w:rFonts w:ascii="Times New Roman" w:eastAsia="MS Mincho" w:hAnsi="Times New Roman" w:cs="Times New Roman"/>
          <w:b/>
          <w:bCs/>
          <w:color w:val="323E4F" w:themeColor="text2" w:themeShade="BF"/>
          <w:lang w:val="es-MX"/>
        </w:rPr>
        <w:t>o superior y está ocupada en actividades de ciencia y tecnología, 2010-2017</w:t>
      </w:r>
    </w:p>
    <w:p w14:paraId="2B3F7388" w14:textId="77777777" w:rsidR="00FB0116" w:rsidRPr="00FB0116" w:rsidRDefault="00FB0116" w:rsidP="00FB0116">
      <w:pPr>
        <w:jc w:val="center"/>
        <w:rPr>
          <w:rFonts w:ascii="Times New Roman" w:eastAsia="MS Mincho" w:hAnsi="Times New Roman" w:cs="Times New Roman"/>
          <w:b/>
          <w:bCs/>
          <w:lang w:val="es-MX"/>
        </w:rPr>
      </w:pPr>
    </w:p>
    <w:p w14:paraId="3268FF8F" w14:textId="6C3DED3B" w:rsidR="00FB0116" w:rsidRPr="00FB0116" w:rsidRDefault="00FB0116" w:rsidP="00FB0116">
      <w:pPr>
        <w:jc w:val="center"/>
        <w:rPr>
          <w:rFonts w:eastAsia="MS Mincho"/>
          <w:lang w:val="es-MX"/>
        </w:rPr>
      </w:pPr>
      <w:r w:rsidRPr="007C2077">
        <w:rPr>
          <w:rFonts w:ascii="Calibri" w:eastAsia="Times New Roman" w:hAnsi="Calibri" w:cs="Times New Roman"/>
          <w:noProof/>
          <w:lang w:val="es-ES"/>
        </w:rPr>
        <w:drawing>
          <wp:inline distT="0" distB="0" distL="0" distR="0" wp14:anchorId="1EC2DB0F" wp14:editId="5E64DE12">
            <wp:extent cx="5400000" cy="3265200"/>
            <wp:effectExtent l="0" t="0" r="10795" b="1143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CF24DF" w14:textId="5A704C4E" w:rsidR="00FB0116" w:rsidRPr="00FB0116" w:rsidRDefault="00FB0116" w:rsidP="00FB0116">
      <w:pPr>
        <w:spacing w:line="360" w:lineRule="auto"/>
        <w:ind w:firstLine="708"/>
        <w:jc w:val="both"/>
        <w:rPr>
          <w:rFonts w:ascii="Times New Roman" w:eastAsia="MS Mincho" w:hAnsi="Times New Roman" w:cs="Times New Roman"/>
          <w:bCs/>
          <w:sz w:val="16"/>
          <w:szCs w:val="16"/>
          <w:lang w:val="es-MX"/>
        </w:rPr>
      </w:pPr>
      <w:r w:rsidRPr="00FB0116">
        <w:rPr>
          <w:rFonts w:ascii="Times New Roman" w:eastAsia="MS Mincho" w:hAnsi="Times New Roman" w:cs="Times New Roman"/>
          <w:b/>
          <w:sz w:val="16"/>
          <w:szCs w:val="16"/>
        </w:rPr>
        <w:t>Fuentes:</w:t>
      </w:r>
      <w:r w:rsidRPr="00FB0116">
        <w:rPr>
          <w:rFonts w:ascii="Times New Roman" w:eastAsia="MS Mincho" w:hAnsi="Times New Roman" w:cs="Times New Roman"/>
          <w:bCs/>
          <w:sz w:val="16"/>
          <w:szCs w:val="16"/>
        </w:rPr>
        <w:t xml:space="preserve"> Anexo del Informe general del estado de la ciencia, la tecnología y la innovación, México 2017. </w:t>
      </w:r>
      <w:r w:rsidR="008922A3">
        <w:rPr>
          <w:rFonts w:ascii="Times New Roman" w:eastAsia="MS Mincho" w:hAnsi="Times New Roman" w:cs="Times New Roman"/>
          <w:bCs/>
          <w:sz w:val="16"/>
          <w:szCs w:val="16"/>
        </w:rPr>
        <w:t>CONACYT</w:t>
      </w:r>
    </w:p>
    <w:p w14:paraId="244916DC" w14:textId="3A485E04" w:rsidR="007C2077" w:rsidRPr="007C2077" w:rsidRDefault="007C2077" w:rsidP="007C2077">
      <w:pPr>
        <w:spacing w:line="360" w:lineRule="auto"/>
        <w:jc w:val="both"/>
        <w:rPr>
          <w:rFonts w:ascii="Times New Roman" w:eastAsia="MS Mincho" w:hAnsi="Times New Roman" w:cs="Times New Roman"/>
          <w:b/>
        </w:rPr>
      </w:pPr>
    </w:p>
    <w:p w14:paraId="2B04EB74" w14:textId="77777777" w:rsidR="00DB1A6A" w:rsidRDefault="00DB1A6A" w:rsidP="0013176B">
      <w:pPr>
        <w:spacing w:line="360" w:lineRule="auto"/>
        <w:jc w:val="both"/>
        <w:rPr>
          <w:rFonts w:ascii="Times New Roman" w:eastAsia="MS Mincho" w:hAnsi="Times New Roman" w:cs="Times New Roman"/>
        </w:rPr>
      </w:pPr>
    </w:p>
    <w:p w14:paraId="5E67CFDD" w14:textId="1230D45D" w:rsidR="0013176B" w:rsidRDefault="007C2077" w:rsidP="0013176B">
      <w:pPr>
        <w:spacing w:line="360" w:lineRule="auto"/>
        <w:jc w:val="both"/>
        <w:rPr>
          <w:rFonts w:ascii="Times New Roman" w:eastAsia="MS Mincho" w:hAnsi="Times New Roman" w:cs="Times New Roman"/>
        </w:rPr>
      </w:pPr>
      <w:r w:rsidRPr="007C2077">
        <w:rPr>
          <w:rFonts w:ascii="Times New Roman" w:eastAsia="MS Mincho" w:hAnsi="Times New Roman" w:cs="Times New Roman"/>
        </w:rPr>
        <w:t>En consecuencia, el gobierno, como fuente de financiamiento principal de IDE, adquiere margen de maniobra para generar mecanismos de vinculación y promoción entre las demás esferas en actividades</w:t>
      </w:r>
      <w:r w:rsidR="0005403A">
        <w:rPr>
          <w:rFonts w:ascii="Times New Roman" w:eastAsia="MS Mincho" w:hAnsi="Times New Roman" w:cs="Times New Roman"/>
        </w:rPr>
        <w:t xml:space="preserve"> </w:t>
      </w:r>
      <w:r w:rsidRPr="007C2077">
        <w:rPr>
          <w:rFonts w:ascii="Times New Roman" w:eastAsia="MS Mincho" w:hAnsi="Times New Roman" w:cs="Times New Roman"/>
        </w:rPr>
        <w:t>de CTI. El resultado derivaría en la resolución de problemas específicos, la formación recursos humanos especializados y el aprovechamiento de los recursos que los actores puedan aportar.</w:t>
      </w:r>
      <w:r w:rsidR="0013176B">
        <w:rPr>
          <w:rFonts w:ascii="Times New Roman" w:eastAsia="MS Mincho" w:hAnsi="Times New Roman" w:cs="Times New Roman"/>
        </w:rPr>
        <w:t xml:space="preserve"> </w:t>
      </w:r>
    </w:p>
    <w:p w14:paraId="50E253C1" w14:textId="77777777" w:rsidR="0005403A" w:rsidRDefault="0005403A" w:rsidP="00813B8F">
      <w:pPr>
        <w:jc w:val="center"/>
        <w:rPr>
          <w:rFonts w:ascii="Times New Roman" w:eastAsia="MS Mincho" w:hAnsi="Times New Roman" w:cs="Times New Roman"/>
          <w:b/>
          <w:bCs/>
          <w:lang w:val="es-MX"/>
        </w:rPr>
      </w:pPr>
    </w:p>
    <w:p w14:paraId="33A73207" w14:textId="77777777" w:rsidR="0005403A" w:rsidRDefault="0005403A" w:rsidP="00813B8F">
      <w:pPr>
        <w:jc w:val="center"/>
        <w:rPr>
          <w:rFonts w:ascii="Times New Roman" w:eastAsia="MS Mincho" w:hAnsi="Times New Roman" w:cs="Times New Roman"/>
          <w:b/>
          <w:bCs/>
          <w:lang w:val="es-MX"/>
        </w:rPr>
      </w:pPr>
    </w:p>
    <w:p w14:paraId="4A3D3FA1" w14:textId="77777777" w:rsidR="0005403A" w:rsidRDefault="0005403A" w:rsidP="00813B8F">
      <w:pPr>
        <w:jc w:val="center"/>
        <w:rPr>
          <w:rFonts w:ascii="Times New Roman" w:eastAsia="MS Mincho" w:hAnsi="Times New Roman" w:cs="Times New Roman"/>
          <w:b/>
          <w:bCs/>
          <w:lang w:val="es-MX"/>
        </w:rPr>
      </w:pPr>
    </w:p>
    <w:p w14:paraId="76BC5701" w14:textId="77777777" w:rsidR="0005403A" w:rsidRDefault="0005403A" w:rsidP="00813B8F">
      <w:pPr>
        <w:jc w:val="center"/>
        <w:rPr>
          <w:rFonts w:ascii="Times New Roman" w:eastAsia="MS Mincho" w:hAnsi="Times New Roman" w:cs="Times New Roman"/>
          <w:b/>
          <w:bCs/>
          <w:lang w:val="es-MX"/>
        </w:rPr>
      </w:pPr>
    </w:p>
    <w:p w14:paraId="10A3151F" w14:textId="77777777" w:rsidR="0005403A" w:rsidRDefault="0005403A" w:rsidP="00813B8F">
      <w:pPr>
        <w:jc w:val="center"/>
        <w:rPr>
          <w:rFonts w:ascii="Times New Roman" w:eastAsia="MS Mincho" w:hAnsi="Times New Roman" w:cs="Times New Roman"/>
          <w:b/>
          <w:bCs/>
          <w:lang w:val="es-MX"/>
        </w:rPr>
      </w:pPr>
    </w:p>
    <w:p w14:paraId="23B6C8FC" w14:textId="77777777" w:rsidR="0005403A" w:rsidRDefault="0005403A" w:rsidP="00813B8F">
      <w:pPr>
        <w:jc w:val="center"/>
        <w:rPr>
          <w:rFonts w:ascii="Times New Roman" w:eastAsia="MS Mincho" w:hAnsi="Times New Roman" w:cs="Times New Roman"/>
          <w:b/>
          <w:bCs/>
          <w:lang w:val="es-MX"/>
        </w:rPr>
      </w:pPr>
    </w:p>
    <w:p w14:paraId="2E23DBC2" w14:textId="77777777" w:rsidR="0005403A" w:rsidRDefault="0005403A" w:rsidP="00813B8F">
      <w:pPr>
        <w:jc w:val="center"/>
        <w:rPr>
          <w:rFonts w:ascii="Times New Roman" w:eastAsia="MS Mincho" w:hAnsi="Times New Roman" w:cs="Times New Roman"/>
          <w:b/>
          <w:bCs/>
          <w:lang w:val="es-MX"/>
        </w:rPr>
      </w:pPr>
    </w:p>
    <w:p w14:paraId="48B3554C" w14:textId="77777777" w:rsidR="0005403A" w:rsidRDefault="0005403A" w:rsidP="00813B8F">
      <w:pPr>
        <w:jc w:val="center"/>
        <w:rPr>
          <w:rFonts w:ascii="Times New Roman" w:eastAsia="MS Mincho" w:hAnsi="Times New Roman" w:cs="Times New Roman"/>
          <w:b/>
          <w:bCs/>
          <w:lang w:val="es-MX"/>
        </w:rPr>
      </w:pPr>
    </w:p>
    <w:p w14:paraId="4A14D896" w14:textId="77777777" w:rsidR="0005403A" w:rsidRDefault="0005403A" w:rsidP="00813B8F">
      <w:pPr>
        <w:jc w:val="center"/>
        <w:rPr>
          <w:rFonts w:ascii="Times New Roman" w:eastAsia="MS Mincho" w:hAnsi="Times New Roman" w:cs="Times New Roman"/>
          <w:b/>
          <w:bCs/>
          <w:lang w:val="es-MX"/>
        </w:rPr>
      </w:pPr>
      <w:bookmarkStart w:id="15" w:name="_GoBack"/>
      <w:bookmarkEnd w:id="15"/>
    </w:p>
    <w:p w14:paraId="6DE4DCA5" w14:textId="6AB8AEBF" w:rsidR="00813B8F" w:rsidRPr="00B25602" w:rsidRDefault="0013176B" w:rsidP="00813B8F">
      <w:pPr>
        <w:jc w:val="center"/>
        <w:rPr>
          <w:rFonts w:ascii="Times New Roman" w:eastAsia="MS Mincho" w:hAnsi="Times New Roman" w:cs="Times New Roman"/>
          <w:b/>
          <w:bCs/>
          <w:color w:val="323E4F" w:themeColor="text2" w:themeShade="BF"/>
          <w:lang w:val="es-MX"/>
        </w:rPr>
      </w:pPr>
      <w:r w:rsidRPr="00B25602">
        <w:rPr>
          <w:rFonts w:ascii="Times New Roman" w:eastAsia="MS Mincho" w:hAnsi="Times New Roman" w:cs="Times New Roman"/>
          <w:b/>
          <w:bCs/>
          <w:color w:val="323E4F" w:themeColor="text2" w:themeShade="BF"/>
          <w:lang w:val="es-MX"/>
        </w:rPr>
        <w:t xml:space="preserve">Gráfica </w:t>
      </w:r>
      <w:r w:rsidR="00813B8F" w:rsidRPr="00B25602">
        <w:rPr>
          <w:rFonts w:ascii="Times New Roman" w:eastAsia="MS Mincho" w:hAnsi="Times New Roman" w:cs="Times New Roman"/>
          <w:b/>
          <w:bCs/>
          <w:color w:val="323E4F" w:themeColor="text2" w:themeShade="BF"/>
          <w:lang w:val="es-MX"/>
        </w:rPr>
        <w:t>5</w:t>
      </w:r>
      <w:r w:rsidRPr="00B25602">
        <w:rPr>
          <w:rFonts w:ascii="Times New Roman" w:eastAsia="MS Mincho" w:hAnsi="Times New Roman" w:cs="Times New Roman"/>
          <w:b/>
          <w:bCs/>
          <w:color w:val="323E4F" w:themeColor="text2" w:themeShade="BF"/>
          <w:lang w:val="es-MX"/>
        </w:rPr>
        <w:t xml:space="preserve">: Porcentaje de investigadores por sector de empleo en México, </w:t>
      </w:r>
    </w:p>
    <w:p w14:paraId="2641A2E9" w14:textId="1B5C13C6" w:rsidR="0013176B" w:rsidRDefault="0013176B" w:rsidP="00813B8F">
      <w:pPr>
        <w:jc w:val="center"/>
        <w:rPr>
          <w:rFonts w:ascii="Times New Roman" w:eastAsia="MS Mincho" w:hAnsi="Times New Roman" w:cs="Times New Roman"/>
          <w:noProof/>
          <w:sz w:val="20"/>
          <w:lang w:val="es-ES"/>
        </w:rPr>
      </w:pPr>
      <w:r w:rsidRPr="00B25602">
        <w:rPr>
          <w:rFonts w:ascii="Times New Roman" w:eastAsia="MS Mincho" w:hAnsi="Times New Roman" w:cs="Times New Roman"/>
          <w:b/>
          <w:bCs/>
          <w:color w:val="323E4F" w:themeColor="text2" w:themeShade="BF"/>
          <w:lang w:val="es-MX"/>
        </w:rPr>
        <w:t>años seleccionados</w:t>
      </w:r>
    </w:p>
    <w:p w14:paraId="366F4F66" w14:textId="6678C052" w:rsidR="007A1A58" w:rsidRDefault="007A1A58" w:rsidP="00813B8F">
      <w:pPr>
        <w:jc w:val="center"/>
        <w:rPr>
          <w:rFonts w:ascii="Times New Roman" w:eastAsia="MS Mincho" w:hAnsi="Times New Roman" w:cs="Times New Roman"/>
          <w:noProof/>
          <w:sz w:val="20"/>
          <w:lang w:val="es-ES"/>
        </w:rPr>
      </w:pPr>
      <w:r>
        <w:rPr>
          <w:noProof/>
        </w:rPr>
        <w:drawing>
          <wp:inline distT="0" distB="0" distL="0" distR="0" wp14:anchorId="4176F516" wp14:editId="141E8965">
            <wp:extent cx="5400000" cy="3265200"/>
            <wp:effectExtent l="0" t="0" r="10795" b="11430"/>
            <wp:docPr id="10" name="Gráfico 10">
              <a:extLst xmlns:a="http://schemas.openxmlformats.org/drawingml/2006/main">
                <a:ext uri="{FF2B5EF4-FFF2-40B4-BE49-F238E27FC236}">
                  <a16:creationId xmlns:a16="http://schemas.microsoft.com/office/drawing/2014/main" id="{9DC36AE1-DB1A-49A7-91B8-8A2D693514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5011F1" w14:textId="0190F164" w:rsidR="007C2077" w:rsidRPr="00927F81" w:rsidRDefault="007C2077" w:rsidP="0013176B">
      <w:pPr>
        <w:spacing w:line="360" w:lineRule="auto"/>
        <w:ind w:firstLine="708"/>
        <w:jc w:val="both"/>
        <w:rPr>
          <w:rFonts w:ascii="Times New Roman" w:eastAsia="MS Mincho" w:hAnsi="Times New Roman" w:cs="Times New Roman"/>
          <w:sz w:val="22"/>
          <w:szCs w:val="28"/>
        </w:rPr>
      </w:pPr>
      <w:r w:rsidRPr="00927F81">
        <w:rPr>
          <w:rFonts w:ascii="Times New Roman" w:eastAsia="MS Mincho" w:hAnsi="Times New Roman" w:cs="Times New Roman"/>
          <w:b/>
          <w:sz w:val="16"/>
          <w:szCs w:val="16"/>
        </w:rPr>
        <w:t>Fuente:</w:t>
      </w:r>
      <w:r w:rsidR="007A1A58">
        <w:rPr>
          <w:rFonts w:ascii="Times New Roman" w:eastAsia="MS Mincho" w:hAnsi="Times New Roman" w:cs="Times New Roman"/>
          <w:sz w:val="16"/>
          <w:szCs w:val="16"/>
        </w:rPr>
        <w:t xml:space="preserve"> </w:t>
      </w:r>
      <w:r w:rsidR="007A1A58" w:rsidRPr="00927F81">
        <w:rPr>
          <w:rFonts w:ascii="Times New Roman" w:eastAsia="Times New Roman" w:hAnsi="Times New Roman" w:cs="Times New Roman"/>
          <w:color w:val="000000"/>
          <w:sz w:val="16"/>
          <w:szCs w:val="20"/>
          <w:lang w:val="en-US" w:eastAsia="es-MX"/>
        </w:rPr>
        <w:t>Fuentes: OECD, Main Science and Technology Indicators, 2016</w:t>
      </w:r>
    </w:p>
    <w:p w14:paraId="756A7F7C" w14:textId="18FE889C" w:rsidR="007C2077" w:rsidRPr="007C2077" w:rsidRDefault="007C2077" w:rsidP="00813B8F">
      <w:pPr>
        <w:spacing w:before="240" w:line="360" w:lineRule="auto"/>
        <w:jc w:val="both"/>
        <w:rPr>
          <w:rFonts w:ascii="Times New Roman" w:eastAsia="MS Mincho" w:hAnsi="Times New Roman" w:cs="Times New Roman"/>
        </w:rPr>
      </w:pPr>
      <w:r w:rsidRPr="007C2077">
        <w:rPr>
          <w:rFonts w:ascii="Times New Roman" w:eastAsia="MS Mincho" w:hAnsi="Times New Roman" w:cs="Times New Roman"/>
        </w:rPr>
        <w:t>Como parte de esta estrategia, los fondos sectoriales podrán fortalecer las capacidades en CTI de las Secretarías y la APF. Pues a través de los apoyos económicos otorgados hacia los proyectos, los sectoriales conjuntan o vinculan los recursos humanos especializados, la infraestructura científica y tecnológica y recursos económicos en la atención de demandas específicas desde un enfoque científico o tecnológico (generación y uso del conocimiento).</w:t>
      </w:r>
    </w:p>
    <w:p w14:paraId="11A9A452" w14:textId="1BF2A5EA" w:rsidR="007C2077" w:rsidRPr="007C2077" w:rsidRDefault="007C2077" w:rsidP="00DB1A6A">
      <w:pPr>
        <w:pStyle w:val="Ttulo3"/>
        <w:spacing w:before="100" w:beforeAutospacing="1"/>
        <w:rPr>
          <w:rFonts w:ascii="Times New Roman" w:eastAsia="MS Mincho" w:hAnsi="Times New Roman" w:cs="Times New Roman"/>
          <w:bCs/>
        </w:rPr>
      </w:pPr>
      <w:bookmarkStart w:id="16" w:name="_Toc453749476"/>
      <w:bookmarkStart w:id="17" w:name="_Toc32920319"/>
      <w:r w:rsidRPr="00813B8F">
        <w:rPr>
          <w:rFonts w:ascii="Times New Roman" w:eastAsia="Times New Roman" w:hAnsi="Times New Roman" w:cs="Times New Roman"/>
          <w:b/>
          <w:bCs/>
        </w:rPr>
        <w:t>II.2.2. Infraestructura científica y tecnológica</w:t>
      </w:r>
      <w:bookmarkEnd w:id="16"/>
      <w:bookmarkEnd w:id="17"/>
    </w:p>
    <w:p w14:paraId="23B65015" w14:textId="05A02772" w:rsidR="007C2077" w:rsidRPr="007C2077" w:rsidRDefault="007C2077" w:rsidP="00813B8F">
      <w:pPr>
        <w:spacing w:before="240" w:line="360" w:lineRule="auto"/>
        <w:jc w:val="both"/>
        <w:rPr>
          <w:rFonts w:ascii="Times New Roman" w:eastAsia="MS Mincho" w:hAnsi="Times New Roman" w:cs="Times New Roman"/>
        </w:rPr>
      </w:pPr>
      <w:r w:rsidRPr="007C2077">
        <w:rPr>
          <w:rFonts w:ascii="Times New Roman" w:eastAsia="MS Mincho" w:hAnsi="Times New Roman" w:cs="Times New Roman"/>
        </w:rPr>
        <w:t>La inversión en infraestructura para ciencia, tecnología e innovación es un punto crítico. Al respecto, el gasto en estos rubros realizado por las dependencias de la administración pública federal en el periodo 200</w:t>
      </w:r>
      <w:r w:rsidR="00C76584">
        <w:rPr>
          <w:rFonts w:ascii="Times New Roman" w:eastAsia="MS Mincho" w:hAnsi="Times New Roman" w:cs="Times New Roman"/>
        </w:rPr>
        <w:t>8</w:t>
      </w:r>
      <w:r w:rsidRPr="007C2077">
        <w:rPr>
          <w:rFonts w:ascii="Times New Roman" w:eastAsia="MS Mincho" w:hAnsi="Times New Roman" w:cs="Times New Roman"/>
        </w:rPr>
        <w:t>-201</w:t>
      </w:r>
      <w:r w:rsidR="00C76584">
        <w:rPr>
          <w:rFonts w:ascii="Times New Roman" w:eastAsia="MS Mincho" w:hAnsi="Times New Roman" w:cs="Times New Roman"/>
        </w:rPr>
        <w:t>7</w:t>
      </w:r>
      <w:r w:rsidRPr="007C2077">
        <w:rPr>
          <w:rFonts w:ascii="Times New Roman" w:eastAsia="MS Mincho" w:hAnsi="Times New Roman" w:cs="Times New Roman"/>
        </w:rPr>
        <w:t xml:space="preserve"> está ilustrado en la gráfica </w:t>
      </w:r>
      <w:r w:rsidR="00F0697C">
        <w:rPr>
          <w:rFonts w:ascii="Times New Roman" w:eastAsia="MS Mincho" w:hAnsi="Times New Roman" w:cs="Times New Roman"/>
        </w:rPr>
        <w:t>6</w:t>
      </w:r>
      <w:r w:rsidRPr="007C2077">
        <w:rPr>
          <w:rFonts w:ascii="Times New Roman" w:eastAsia="MS Mincho" w:hAnsi="Times New Roman" w:cs="Times New Roman"/>
        </w:rPr>
        <w:t xml:space="preserve">. La gráfica toma algunos de los sectores más representativos: </w:t>
      </w:r>
    </w:p>
    <w:p w14:paraId="5C179A2B" w14:textId="77777777" w:rsidR="0005403A" w:rsidRDefault="0005403A" w:rsidP="0005403A">
      <w:pPr>
        <w:spacing w:line="360" w:lineRule="auto"/>
        <w:jc w:val="center"/>
        <w:rPr>
          <w:rFonts w:ascii="Times New Roman" w:eastAsia="Times New Roman" w:hAnsi="Times New Roman" w:cs="Times New Roman"/>
          <w:b/>
          <w:bCs/>
          <w:noProof/>
          <w:lang w:val="es-MX" w:eastAsia="es-MX"/>
        </w:rPr>
      </w:pPr>
    </w:p>
    <w:p w14:paraId="725F684D" w14:textId="77777777" w:rsidR="0005403A" w:rsidRDefault="0005403A" w:rsidP="0005403A">
      <w:pPr>
        <w:spacing w:line="360" w:lineRule="auto"/>
        <w:jc w:val="center"/>
        <w:rPr>
          <w:rFonts w:ascii="Times New Roman" w:eastAsia="Times New Roman" w:hAnsi="Times New Roman" w:cs="Times New Roman"/>
          <w:b/>
          <w:bCs/>
          <w:noProof/>
          <w:lang w:val="es-MX" w:eastAsia="es-MX"/>
        </w:rPr>
      </w:pPr>
    </w:p>
    <w:p w14:paraId="32983691" w14:textId="51313A6C" w:rsidR="00F0697C" w:rsidRPr="00B25602" w:rsidRDefault="00F0697C" w:rsidP="0005403A">
      <w:pPr>
        <w:jc w:val="center"/>
        <w:rPr>
          <w:rFonts w:ascii="Times New Roman" w:eastAsia="Times New Roman" w:hAnsi="Times New Roman" w:cs="Times New Roman"/>
          <w:b/>
          <w:bCs/>
          <w:noProof/>
          <w:color w:val="323E4F" w:themeColor="text2" w:themeShade="BF"/>
          <w:lang w:val="es-MX" w:eastAsia="es-MX"/>
        </w:rPr>
      </w:pPr>
      <w:r w:rsidRPr="00B25602">
        <w:rPr>
          <w:rFonts w:ascii="Times New Roman" w:eastAsia="Times New Roman" w:hAnsi="Times New Roman" w:cs="Times New Roman"/>
          <w:b/>
          <w:bCs/>
          <w:noProof/>
          <w:color w:val="323E4F" w:themeColor="text2" w:themeShade="BF"/>
          <w:lang w:val="es-MX" w:eastAsia="es-MX"/>
        </w:rPr>
        <w:lastRenderedPageBreak/>
        <w:t>Gráfica 6: Gasto federal en ciencia y tecnología por ramo administrativo, 2008-2017</w:t>
      </w:r>
    </w:p>
    <w:p w14:paraId="12F537BD" w14:textId="171242C5" w:rsidR="00F0697C" w:rsidRPr="00B25602" w:rsidRDefault="00F0697C" w:rsidP="0005403A">
      <w:pPr>
        <w:jc w:val="center"/>
        <w:rPr>
          <w:rFonts w:ascii="Times New Roman" w:eastAsia="Times New Roman" w:hAnsi="Times New Roman" w:cs="Times New Roman"/>
          <w:noProof/>
          <w:color w:val="323E4F" w:themeColor="text2" w:themeShade="BF"/>
          <w:lang w:val="es-MX" w:eastAsia="es-MX"/>
        </w:rPr>
      </w:pPr>
      <w:r w:rsidRPr="00B25602">
        <w:rPr>
          <w:rFonts w:ascii="Times New Roman" w:eastAsia="Times New Roman" w:hAnsi="Times New Roman" w:cs="Times New Roman"/>
          <w:b/>
          <w:bCs/>
          <w:noProof/>
          <w:color w:val="323E4F" w:themeColor="text2" w:themeShade="BF"/>
          <w:lang w:val="es-MX" w:eastAsia="es-MX"/>
        </w:rPr>
        <w:t>millones de pesos a precios de 2017</w:t>
      </w:r>
    </w:p>
    <w:p w14:paraId="1D320300" w14:textId="30196A10" w:rsidR="007C2077" w:rsidRPr="007C2077" w:rsidRDefault="00F0697C" w:rsidP="00F0697C">
      <w:pPr>
        <w:spacing w:line="360" w:lineRule="auto"/>
        <w:jc w:val="center"/>
        <w:rPr>
          <w:rFonts w:ascii="Calibri" w:eastAsia="Times New Roman" w:hAnsi="Calibri" w:cs="Times New Roman"/>
          <w:noProof/>
          <w:lang w:val="es-MX" w:eastAsia="es-MX"/>
        </w:rPr>
      </w:pPr>
      <w:r>
        <w:rPr>
          <w:noProof/>
        </w:rPr>
        <mc:AlternateContent>
          <mc:Choice Requires="wps">
            <w:drawing>
              <wp:anchor distT="0" distB="0" distL="114300" distR="114300" simplePos="0" relativeHeight="251669504" behindDoc="0" locked="0" layoutInCell="1" allowOverlap="1" wp14:anchorId="532B5E60" wp14:editId="79BAB5B4">
                <wp:simplePos x="0" y="0"/>
                <wp:positionH relativeFrom="column">
                  <wp:posOffset>468630</wp:posOffset>
                </wp:positionH>
                <wp:positionV relativeFrom="paragraph">
                  <wp:posOffset>3279140</wp:posOffset>
                </wp:positionV>
                <wp:extent cx="5417820" cy="313723"/>
                <wp:effectExtent l="0" t="0" r="0" b="0"/>
                <wp:wrapNone/>
                <wp:docPr id="6" name="CuadroTexto 1"/>
                <wp:cNvGraphicFramePr/>
                <a:graphic xmlns:a="http://schemas.openxmlformats.org/drawingml/2006/main">
                  <a:graphicData uri="http://schemas.microsoft.com/office/word/2010/wordprocessingShape">
                    <wps:wsp>
                      <wps:cNvSpPr txBox="1"/>
                      <wps:spPr>
                        <a:xfrm>
                          <a:off x="0" y="0"/>
                          <a:ext cx="5417820" cy="313723"/>
                        </a:xfrm>
                        <a:prstGeom prst="rect">
                          <a:avLst/>
                        </a:prstGeom>
                      </wps:spPr>
                      <wps:txbx>
                        <w:txbxContent>
                          <w:p w14:paraId="5F1C8696" w14:textId="77777777" w:rsidR="007A1A58" w:rsidRPr="00927F81" w:rsidRDefault="007A1A58" w:rsidP="00F0697C">
                            <w:pPr>
                              <w:rPr>
                                <w:rFonts w:ascii="Times New Roman" w:hAnsi="Times New Roman" w:cs="Times New Roman"/>
                                <w:sz w:val="28"/>
                                <w:szCs w:val="28"/>
                              </w:rPr>
                            </w:pPr>
                            <w:r w:rsidRPr="00927F81">
                              <w:rPr>
                                <w:rFonts w:ascii="Times New Roman" w:hAnsi="Times New Roman" w:cs="Times New Roman"/>
                                <w:b/>
                                <w:bCs/>
                                <w:sz w:val="16"/>
                                <w:szCs w:val="16"/>
                              </w:rPr>
                              <w:t>Fuentes:</w:t>
                            </w:r>
                            <w:r w:rsidRPr="00927F81">
                              <w:rPr>
                                <w:rFonts w:ascii="Times New Roman" w:hAnsi="Times New Roman" w:cs="Times New Roman"/>
                                <w:sz w:val="16"/>
                                <w:szCs w:val="16"/>
                              </w:rPr>
                              <w:t xml:space="preserve"> SHCP, Cuenta de la Hacienda Pública Federal, 2008-2017.</w:t>
                            </w:r>
                          </w:p>
                          <w:p w14:paraId="646413B6" w14:textId="77777777" w:rsidR="007A1A58" w:rsidRPr="00927F81" w:rsidRDefault="007A1A58" w:rsidP="00F0697C">
                            <w:pPr>
                              <w:rPr>
                                <w:rFonts w:ascii="Times New Roman" w:hAnsi="Times New Roman" w:cs="Times New Roman"/>
                                <w:sz w:val="28"/>
                                <w:szCs w:val="28"/>
                              </w:rPr>
                            </w:pPr>
                            <w:r w:rsidRPr="00927F81">
                              <w:rPr>
                                <w:rFonts w:ascii="Times New Roman" w:hAnsi="Times New Roman" w:cs="Times New Roman"/>
                                <w:sz w:val="16"/>
                                <w:szCs w:val="16"/>
                              </w:rPr>
                              <w:t>INEGI, Sistema de Cuentas Nacionales de México</w:t>
                            </w:r>
                          </w:p>
                        </w:txbxContent>
                      </wps:txbx>
                      <wps:bodyPr vertOverflow="clip" wrap="square" rtlCol="0"/>
                    </wps:wsp>
                  </a:graphicData>
                </a:graphic>
                <wp14:sizeRelH relativeFrom="margin">
                  <wp14:pctWidth>0</wp14:pctWidth>
                </wp14:sizeRelH>
              </wp:anchor>
            </w:drawing>
          </mc:Choice>
          <mc:Fallback>
            <w:pict>
              <v:shape w14:anchorId="532B5E60" id="CuadroTexto 1" o:spid="_x0000_s1033" type="#_x0000_t202" style="position:absolute;left:0;text-align:left;margin-left:36.9pt;margin-top:258.2pt;width:426.6pt;height:24.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" filled="f" stroked="f">
                <v:textbox>
                  <w:txbxContent>
                    <w:p w14:paraId="5F1C8696" w14:textId="77777777" w:rsidR="007A1A58" w:rsidRPr="00927F81" w:rsidRDefault="007A1A58" w:rsidP="00F0697C">
                      <w:pPr>
                        <w:rPr>
                          <w:rFonts w:ascii="Times New Roman" w:hAnsi="Times New Roman" w:cs="Times New Roman"/>
                          <w:sz w:val="28"/>
                          <w:szCs w:val="28"/>
                        </w:rPr>
                      </w:pPr>
                      <w:r w:rsidRPr="00927F81">
                        <w:rPr>
                          <w:rFonts w:ascii="Times New Roman" w:hAnsi="Times New Roman" w:cs="Times New Roman"/>
                          <w:b/>
                          <w:bCs/>
                          <w:sz w:val="16"/>
                          <w:szCs w:val="16"/>
                        </w:rPr>
                        <w:t>Fuentes:</w:t>
                      </w:r>
                      <w:r w:rsidRPr="00927F81">
                        <w:rPr>
                          <w:rFonts w:ascii="Times New Roman" w:hAnsi="Times New Roman" w:cs="Times New Roman"/>
                          <w:sz w:val="16"/>
                          <w:szCs w:val="16"/>
                        </w:rPr>
                        <w:t xml:space="preserve"> SHCP, Cuenta de la Hacienda Pública Federal, 2008-2017.</w:t>
                      </w:r>
                    </w:p>
                    <w:p w14:paraId="646413B6" w14:textId="77777777" w:rsidR="007A1A58" w:rsidRPr="00927F81" w:rsidRDefault="007A1A58" w:rsidP="00F0697C">
                      <w:pPr>
                        <w:rPr>
                          <w:rFonts w:ascii="Times New Roman" w:hAnsi="Times New Roman" w:cs="Times New Roman"/>
                          <w:sz w:val="28"/>
                          <w:szCs w:val="28"/>
                        </w:rPr>
                      </w:pPr>
                      <w:r w:rsidRPr="00927F81">
                        <w:rPr>
                          <w:rFonts w:ascii="Times New Roman" w:hAnsi="Times New Roman" w:cs="Times New Roman"/>
                          <w:sz w:val="16"/>
                          <w:szCs w:val="16"/>
                        </w:rPr>
                        <w:t>INEGI, Sistema de Cuentas Nacionales de México</w:t>
                      </w:r>
                    </w:p>
                  </w:txbxContent>
                </v:textbox>
              </v:shape>
            </w:pict>
          </mc:Fallback>
        </mc:AlternateContent>
      </w:r>
      <w:r w:rsidR="007C2077" w:rsidRPr="007C2077">
        <w:rPr>
          <w:rFonts w:ascii="Calibri" w:eastAsia="Times New Roman" w:hAnsi="Calibri" w:cs="Times New Roman"/>
          <w:noProof/>
          <w:lang w:val="es-ES"/>
        </w:rPr>
        <w:drawing>
          <wp:inline distT="0" distB="0" distL="0" distR="0" wp14:anchorId="3B4E8EBF" wp14:editId="3B7CFD8B">
            <wp:extent cx="5400000" cy="3265200"/>
            <wp:effectExtent l="0" t="0" r="10795" b="1143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A9DA83" w14:textId="30971BFC" w:rsidR="007C2077" w:rsidRPr="007C2077" w:rsidRDefault="007C2077" w:rsidP="007C2077">
      <w:pPr>
        <w:spacing w:line="360" w:lineRule="auto"/>
        <w:jc w:val="both"/>
        <w:rPr>
          <w:rFonts w:ascii="Calibri" w:eastAsia="Times New Roman" w:hAnsi="Calibri" w:cs="Times New Roman"/>
          <w:noProof/>
          <w:lang w:val="es-MX" w:eastAsia="es-MX"/>
        </w:rPr>
      </w:pPr>
    </w:p>
    <w:p w14:paraId="5784B3C1" w14:textId="77777777" w:rsidR="00F0697C" w:rsidRDefault="00F0697C" w:rsidP="007C2077">
      <w:pPr>
        <w:spacing w:line="360" w:lineRule="auto"/>
        <w:jc w:val="both"/>
        <w:rPr>
          <w:rFonts w:ascii="Times New Roman" w:eastAsia="MS Mincho" w:hAnsi="Times New Roman" w:cs="Times New Roman"/>
        </w:rPr>
      </w:pPr>
    </w:p>
    <w:p w14:paraId="74237418" w14:textId="0FE37AD3" w:rsidR="00DB1A6A" w:rsidRDefault="007C2077" w:rsidP="007C2077">
      <w:pPr>
        <w:spacing w:line="360" w:lineRule="auto"/>
        <w:jc w:val="both"/>
        <w:rPr>
          <w:rFonts w:ascii="Times New Roman" w:eastAsia="MS Mincho" w:hAnsi="Times New Roman" w:cs="Times New Roman"/>
        </w:rPr>
      </w:pPr>
      <w:r w:rsidRPr="007C2077">
        <w:rPr>
          <w:rFonts w:ascii="Times New Roman" w:eastAsia="MS Mincho" w:hAnsi="Times New Roman" w:cs="Times New Roman"/>
        </w:rPr>
        <w:t xml:space="preserve">El </w:t>
      </w:r>
      <w:r w:rsidR="008922A3">
        <w:rPr>
          <w:rFonts w:ascii="Times New Roman" w:eastAsia="MS Mincho" w:hAnsi="Times New Roman" w:cs="Times New Roman"/>
        </w:rPr>
        <w:t>CONACYT</w:t>
      </w:r>
      <w:r w:rsidRPr="007C2077">
        <w:rPr>
          <w:rFonts w:ascii="Times New Roman" w:eastAsia="MS Mincho" w:hAnsi="Times New Roman" w:cs="Times New Roman"/>
        </w:rPr>
        <w:t xml:space="preserve"> reportó cifras superiores al 40% de participación en el gasto total federal en Ciencia y Tecnología para el periodo 2013-2016. Esta proporción justifica su relevancia como dependencia gubernamental dirigida a fortalecer las capacidades en CTI a la APF. Los demás ramos administrativos —excepto educación pública— muestran una tendencia decreciente de gasto. No obstante, a partir del año 2016, el gasto del ramo 38 “</w:t>
      </w:r>
      <w:r w:rsidR="008922A3">
        <w:rPr>
          <w:rFonts w:ascii="Times New Roman" w:eastAsia="MS Mincho" w:hAnsi="Times New Roman" w:cs="Times New Roman"/>
        </w:rPr>
        <w:t>CONACYT</w:t>
      </w:r>
      <w:r w:rsidRPr="007C2077">
        <w:rPr>
          <w:rFonts w:ascii="Times New Roman" w:eastAsia="MS Mincho" w:hAnsi="Times New Roman" w:cs="Times New Roman"/>
        </w:rPr>
        <w:t>” empieza a mostrar una tendencia a la baja. En tanto, el gasto del ramo 11 “Educación pública” se eleva y supera al ramo 38 en el año 2017. La ejecución de la política pública en CTI será compartida entre estos dos ramos, principalmente.</w:t>
      </w:r>
    </w:p>
    <w:p w14:paraId="5FCE0713" w14:textId="7DF243A8" w:rsidR="00DB1A6A" w:rsidRDefault="00DB1A6A" w:rsidP="007C2077">
      <w:pPr>
        <w:spacing w:line="360" w:lineRule="auto"/>
        <w:jc w:val="both"/>
        <w:rPr>
          <w:rFonts w:ascii="Times New Roman" w:eastAsia="MS Mincho" w:hAnsi="Times New Roman" w:cs="Times New Roman"/>
        </w:rPr>
      </w:pPr>
    </w:p>
    <w:p w14:paraId="521A897A" w14:textId="5F18FA7D" w:rsidR="00DB1A6A" w:rsidRDefault="00DB1A6A" w:rsidP="007C2077">
      <w:pPr>
        <w:spacing w:line="360" w:lineRule="auto"/>
        <w:jc w:val="both"/>
        <w:rPr>
          <w:rFonts w:ascii="Times New Roman" w:eastAsia="MS Mincho" w:hAnsi="Times New Roman" w:cs="Times New Roman"/>
        </w:rPr>
      </w:pPr>
    </w:p>
    <w:p w14:paraId="5C4E8033" w14:textId="4A9908DB" w:rsidR="00DB1A6A" w:rsidRDefault="00DB1A6A" w:rsidP="007C2077">
      <w:pPr>
        <w:spacing w:line="360" w:lineRule="auto"/>
        <w:jc w:val="both"/>
        <w:rPr>
          <w:rFonts w:ascii="Times New Roman" w:eastAsia="MS Mincho" w:hAnsi="Times New Roman" w:cs="Times New Roman"/>
        </w:rPr>
      </w:pPr>
    </w:p>
    <w:p w14:paraId="4863935F" w14:textId="77777777" w:rsidR="00DB1A6A" w:rsidRDefault="00DB1A6A" w:rsidP="00DB1A6A">
      <w:pPr>
        <w:spacing w:line="360" w:lineRule="auto"/>
        <w:jc w:val="both"/>
        <w:rPr>
          <w:rFonts w:ascii="Times New Roman" w:eastAsia="MS Mincho" w:hAnsi="Times New Roman" w:cs="Times New Roman"/>
        </w:rPr>
      </w:pPr>
      <w:r w:rsidRPr="007C2077">
        <w:rPr>
          <w:rFonts w:ascii="Times New Roman" w:eastAsia="MS Mincho" w:hAnsi="Times New Roman" w:cs="Times New Roman"/>
        </w:rPr>
        <w:lastRenderedPageBreak/>
        <w:t>Similarmente, la evolución del gasto en innovación</w:t>
      </w:r>
      <w:r w:rsidRPr="007C2077">
        <w:rPr>
          <w:rFonts w:ascii="Times New Roman" w:eastAsia="MS Mincho" w:hAnsi="Times New Roman" w:cs="Times New Roman"/>
          <w:vertAlign w:val="superscript"/>
        </w:rPr>
        <w:footnoteReference w:id="1"/>
      </w:r>
      <w:r w:rsidRPr="007C2077">
        <w:rPr>
          <w:rFonts w:ascii="Times New Roman" w:eastAsia="MS Mincho" w:hAnsi="Times New Roman" w:cs="Times New Roman"/>
        </w:rPr>
        <w:t xml:space="preserve"> dentro del gobierno federal también está redefiniéndose. En el año 2014, la participación entre ramos cambió. Véase gráfica </w:t>
      </w:r>
      <w:r>
        <w:rPr>
          <w:rFonts w:ascii="Times New Roman" w:eastAsia="MS Mincho" w:hAnsi="Times New Roman" w:cs="Times New Roman"/>
        </w:rPr>
        <w:t>7</w:t>
      </w:r>
      <w:r w:rsidRPr="007C2077">
        <w:rPr>
          <w:rFonts w:ascii="Times New Roman" w:eastAsia="MS Mincho" w:hAnsi="Times New Roman" w:cs="Times New Roman"/>
        </w:rPr>
        <w:t>:</w:t>
      </w:r>
    </w:p>
    <w:p w14:paraId="44EB73DD" w14:textId="77777777" w:rsidR="00DB1A6A" w:rsidRDefault="00DB1A6A" w:rsidP="00451B0F">
      <w:pPr>
        <w:jc w:val="center"/>
        <w:rPr>
          <w:rFonts w:ascii="Times New Roman" w:eastAsia="MS Mincho" w:hAnsi="Times New Roman" w:cs="Times New Roman"/>
          <w:b/>
          <w:bCs/>
        </w:rPr>
      </w:pPr>
    </w:p>
    <w:p w14:paraId="51ECC7E3" w14:textId="5CEB2B5D" w:rsidR="00D50A7D" w:rsidRPr="00B25602" w:rsidRDefault="00451B0F" w:rsidP="00451B0F">
      <w:pPr>
        <w:jc w:val="center"/>
        <w:rPr>
          <w:rFonts w:ascii="Times New Roman" w:eastAsia="MS Mincho" w:hAnsi="Times New Roman" w:cs="Times New Roman"/>
          <w:b/>
          <w:bCs/>
          <w:color w:val="323E4F" w:themeColor="text2" w:themeShade="BF"/>
        </w:rPr>
      </w:pPr>
      <w:r w:rsidRPr="00B25602">
        <w:rPr>
          <w:rFonts w:ascii="Times New Roman" w:eastAsia="MS Mincho" w:hAnsi="Times New Roman" w:cs="Times New Roman"/>
          <w:b/>
          <w:bCs/>
          <w:color w:val="323E4F" w:themeColor="text2" w:themeShade="BF"/>
        </w:rPr>
        <w:t xml:space="preserve">Gráfica 7: Gasto en Innovación en el sector gobierno como ejecutor, </w:t>
      </w:r>
    </w:p>
    <w:p w14:paraId="51549516" w14:textId="1E482CD6" w:rsidR="00451B0F" w:rsidRPr="00B25602" w:rsidRDefault="00451B0F" w:rsidP="00451B0F">
      <w:pPr>
        <w:jc w:val="center"/>
        <w:rPr>
          <w:rFonts w:ascii="Times New Roman" w:eastAsia="MS Mincho" w:hAnsi="Times New Roman" w:cs="Times New Roman"/>
          <w:b/>
          <w:bCs/>
          <w:color w:val="323E4F" w:themeColor="text2" w:themeShade="BF"/>
        </w:rPr>
      </w:pPr>
      <w:r w:rsidRPr="00B25602">
        <w:rPr>
          <w:rFonts w:ascii="Times New Roman" w:eastAsia="MS Mincho" w:hAnsi="Times New Roman" w:cs="Times New Roman"/>
          <w:b/>
          <w:bCs/>
          <w:color w:val="323E4F" w:themeColor="text2" w:themeShade="BF"/>
        </w:rPr>
        <w:t>por fuente de</w:t>
      </w:r>
      <w:r w:rsidR="00D50A7D" w:rsidRPr="00B25602">
        <w:rPr>
          <w:rFonts w:ascii="Times New Roman" w:eastAsia="MS Mincho" w:hAnsi="Times New Roman" w:cs="Times New Roman"/>
          <w:b/>
          <w:bCs/>
          <w:color w:val="323E4F" w:themeColor="text2" w:themeShade="BF"/>
        </w:rPr>
        <w:t xml:space="preserve"> </w:t>
      </w:r>
      <w:r w:rsidRPr="00B25602">
        <w:rPr>
          <w:rFonts w:ascii="Times New Roman" w:eastAsia="MS Mincho" w:hAnsi="Times New Roman" w:cs="Times New Roman"/>
          <w:b/>
          <w:bCs/>
          <w:color w:val="323E4F" w:themeColor="text2" w:themeShade="BF"/>
        </w:rPr>
        <w:t>los Fondos, 2009-2017</w:t>
      </w:r>
    </w:p>
    <w:p w14:paraId="165BB4B7" w14:textId="3D8F24C5" w:rsidR="00451B0F" w:rsidRDefault="00D50A7D" w:rsidP="00D50A7D">
      <w:pPr>
        <w:spacing w:line="360" w:lineRule="auto"/>
        <w:jc w:val="center"/>
        <w:rPr>
          <w:rFonts w:ascii="Times New Roman" w:eastAsia="MS Mincho" w:hAnsi="Times New Roman" w:cs="Times New Roman"/>
        </w:rPr>
      </w:pPr>
      <w:r>
        <w:rPr>
          <w:noProof/>
        </w:rPr>
        <mc:AlternateContent>
          <mc:Choice Requires="wps">
            <w:drawing>
              <wp:anchor distT="0" distB="0" distL="114300" distR="114300" simplePos="0" relativeHeight="251671552" behindDoc="0" locked="0" layoutInCell="1" allowOverlap="1" wp14:anchorId="4347C75D" wp14:editId="5C9359A7">
                <wp:simplePos x="0" y="0"/>
                <wp:positionH relativeFrom="column">
                  <wp:posOffset>441960</wp:posOffset>
                </wp:positionH>
                <wp:positionV relativeFrom="paragraph">
                  <wp:posOffset>3266440</wp:posOffset>
                </wp:positionV>
                <wp:extent cx="5089246" cy="531272"/>
                <wp:effectExtent l="0" t="0" r="0" b="0"/>
                <wp:wrapNone/>
                <wp:docPr id="7" name="CuadroTexto 1"/>
                <wp:cNvGraphicFramePr/>
                <a:graphic xmlns:a="http://schemas.openxmlformats.org/drawingml/2006/main">
                  <a:graphicData uri="http://schemas.microsoft.com/office/word/2010/wordprocessingShape">
                    <wps:wsp>
                      <wps:cNvSpPr txBox="1"/>
                      <wps:spPr>
                        <a:xfrm>
                          <a:off x="0" y="0"/>
                          <a:ext cx="5089246" cy="531272"/>
                        </a:xfrm>
                        <a:prstGeom prst="rect">
                          <a:avLst/>
                        </a:prstGeom>
                      </wps:spPr>
                      <wps:txbx>
                        <w:txbxContent>
                          <w:p w14:paraId="0D28F190" w14:textId="77777777" w:rsidR="007A1A58" w:rsidRPr="00D50A7D" w:rsidRDefault="007A1A58" w:rsidP="00451B0F">
                            <w:pPr>
                              <w:rPr>
                                <w:rFonts w:ascii="Times New Roman" w:hAnsi="Times New Roman" w:cs="Times New Roman"/>
                                <w:sz w:val="16"/>
                                <w:szCs w:val="16"/>
                              </w:rPr>
                            </w:pPr>
                            <w:r w:rsidRPr="00D50A7D">
                              <w:rPr>
                                <w:rFonts w:ascii="Times New Roman" w:hAnsi="Times New Roman" w:cs="Times New Roman"/>
                                <w:sz w:val="16"/>
                                <w:szCs w:val="16"/>
                              </w:rPr>
                              <w:t>1/: Cifras revisadas para los años 2009 a 2014.</w:t>
                            </w:r>
                          </w:p>
                          <w:p w14:paraId="76C7CA5F" w14:textId="77777777" w:rsidR="007A1A58" w:rsidRPr="00D50A7D" w:rsidRDefault="007A1A58" w:rsidP="00451B0F">
                            <w:pPr>
                              <w:rPr>
                                <w:rFonts w:ascii="Times New Roman" w:hAnsi="Times New Roman" w:cs="Times New Roman"/>
                                <w:sz w:val="16"/>
                                <w:szCs w:val="16"/>
                              </w:rPr>
                            </w:pPr>
                            <w:r w:rsidRPr="00927F81">
                              <w:rPr>
                                <w:rFonts w:ascii="Times New Roman" w:hAnsi="Times New Roman" w:cs="Times New Roman"/>
                                <w:b/>
                                <w:bCs/>
                                <w:sz w:val="16"/>
                                <w:szCs w:val="16"/>
                              </w:rPr>
                              <w:t>Fuentes:</w:t>
                            </w:r>
                            <w:r w:rsidRPr="00D50A7D">
                              <w:rPr>
                                <w:rFonts w:ascii="Times New Roman" w:hAnsi="Times New Roman" w:cs="Times New Roman"/>
                                <w:sz w:val="16"/>
                                <w:szCs w:val="16"/>
                              </w:rPr>
                              <w:t xml:space="preserve"> SHCP, Cuenta de la Hacienda Pública Federal, 2009-2017.</w:t>
                            </w:r>
                          </w:p>
                          <w:p w14:paraId="69AB8D07" w14:textId="77777777" w:rsidR="007A1A58" w:rsidRPr="00D50A7D" w:rsidRDefault="007A1A58" w:rsidP="00451B0F">
                            <w:pPr>
                              <w:rPr>
                                <w:rFonts w:ascii="Times New Roman" w:hAnsi="Times New Roman" w:cs="Times New Roman"/>
                                <w:sz w:val="16"/>
                                <w:szCs w:val="16"/>
                              </w:rPr>
                            </w:pPr>
                            <w:r w:rsidRPr="00D50A7D">
                              <w:rPr>
                                <w:rFonts w:ascii="Times New Roman" w:hAnsi="Times New Roman" w:cs="Times New Roman"/>
                                <w:sz w:val="16"/>
                                <w:szCs w:val="16"/>
                              </w:rPr>
                              <w:t>INEGI-</w:t>
                            </w:r>
                            <w:proofErr w:type="spellStart"/>
                            <w:r w:rsidRPr="00D50A7D">
                              <w:rPr>
                                <w:rFonts w:ascii="Times New Roman" w:hAnsi="Times New Roman" w:cs="Times New Roman"/>
                                <w:sz w:val="16"/>
                                <w:szCs w:val="16"/>
                              </w:rPr>
                              <w:t>Conacyt</w:t>
                            </w:r>
                            <w:proofErr w:type="spellEnd"/>
                            <w:r w:rsidRPr="00D50A7D">
                              <w:rPr>
                                <w:rFonts w:ascii="Times New Roman" w:hAnsi="Times New Roman" w:cs="Times New Roman"/>
                                <w:sz w:val="16"/>
                                <w:szCs w:val="16"/>
                              </w:rPr>
                              <w:t>, Encuesta sobre Investigación y Desarrollo Tecnológico (ESIDET); 2012, 2014.</w:t>
                            </w:r>
                          </w:p>
                        </w:txbxContent>
                      </wps:txbx>
                      <wps:bodyPr vertOverflow="clip" wrap="square" rtlCol="0"/>
                    </wps:wsp>
                  </a:graphicData>
                </a:graphic>
              </wp:anchor>
            </w:drawing>
          </mc:Choice>
          <mc:Fallback>
            <w:pict>
              <v:shape w14:anchorId="4347C75D" id="_x0000_s1034" type="#_x0000_t202" style="position:absolute;left:0;text-align:left;margin-left:34.8pt;margin-top:257.2pt;width:400.75pt;height:41.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" filled="f" stroked="f">
                <v:textbox>
                  <w:txbxContent>
                    <w:p w14:paraId="0D28F190" w14:textId="77777777" w:rsidR="007A1A58" w:rsidRPr="00D50A7D" w:rsidRDefault="007A1A58" w:rsidP="00451B0F">
                      <w:pPr>
                        <w:rPr>
                          <w:rFonts w:ascii="Times New Roman" w:hAnsi="Times New Roman" w:cs="Times New Roman"/>
                          <w:sz w:val="16"/>
                          <w:szCs w:val="16"/>
                        </w:rPr>
                      </w:pPr>
                      <w:r w:rsidRPr="00D50A7D">
                        <w:rPr>
                          <w:rFonts w:ascii="Times New Roman" w:hAnsi="Times New Roman" w:cs="Times New Roman"/>
                          <w:sz w:val="16"/>
                          <w:szCs w:val="16"/>
                        </w:rPr>
                        <w:t>1/: Cifras revisadas para los años 2009 a 2014.</w:t>
                      </w:r>
                    </w:p>
                    <w:p w14:paraId="76C7CA5F" w14:textId="77777777" w:rsidR="007A1A58" w:rsidRPr="00D50A7D" w:rsidRDefault="007A1A58" w:rsidP="00451B0F">
                      <w:pPr>
                        <w:rPr>
                          <w:rFonts w:ascii="Times New Roman" w:hAnsi="Times New Roman" w:cs="Times New Roman"/>
                          <w:sz w:val="16"/>
                          <w:szCs w:val="16"/>
                        </w:rPr>
                      </w:pPr>
                      <w:r w:rsidRPr="00927F81">
                        <w:rPr>
                          <w:rFonts w:ascii="Times New Roman" w:hAnsi="Times New Roman" w:cs="Times New Roman"/>
                          <w:b/>
                          <w:bCs/>
                          <w:sz w:val="16"/>
                          <w:szCs w:val="16"/>
                        </w:rPr>
                        <w:t>Fuentes:</w:t>
                      </w:r>
                      <w:r w:rsidRPr="00D50A7D">
                        <w:rPr>
                          <w:rFonts w:ascii="Times New Roman" w:hAnsi="Times New Roman" w:cs="Times New Roman"/>
                          <w:sz w:val="16"/>
                          <w:szCs w:val="16"/>
                        </w:rPr>
                        <w:t xml:space="preserve"> SHCP, Cuenta de la Hacienda Pública Federal, 2009-2017.</w:t>
                      </w:r>
                    </w:p>
                    <w:p w14:paraId="69AB8D07" w14:textId="77777777" w:rsidR="007A1A58" w:rsidRPr="00D50A7D" w:rsidRDefault="007A1A58" w:rsidP="00451B0F">
                      <w:pPr>
                        <w:rPr>
                          <w:rFonts w:ascii="Times New Roman" w:hAnsi="Times New Roman" w:cs="Times New Roman"/>
                          <w:sz w:val="16"/>
                          <w:szCs w:val="16"/>
                        </w:rPr>
                      </w:pPr>
                      <w:r w:rsidRPr="00D50A7D">
                        <w:rPr>
                          <w:rFonts w:ascii="Times New Roman" w:hAnsi="Times New Roman" w:cs="Times New Roman"/>
                          <w:sz w:val="16"/>
                          <w:szCs w:val="16"/>
                        </w:rPr>
                        <w:t>INEGI-</w:t>
                      </w:r>
                      <w:proofErr w:type="spellStart"/>
                      <w:r w:rsidRPr="00D50A7D">
                        <w:rPr>
                          <w:rFonts w:ascii="Times New Roman" w:hAnsi="Times New Roman" w:cs="Times New Roman"/>
                          <w:sz w:val="16"/>
                          <w:szCs w:val="16"/>
                        </w:rPr>
                        <w:t>Conacyt</w:t>
                      </w:r>
                      <w:proofErr w:type="spellEnd"/>
                      <w:r w:rsidRPr="00D50A7D">
                        <w:rPr>
                          <w:rFonts w:ascii="Times New Roman" w:hAnsi="Times New Roman" w:cs="Times New Roman"/>
                          <w:sz w:val="16"/>
                          <w:szCs w:val="16"/>
                        </w:rPr>
                        <w:t>, Encuesta sobre Investigación y Desarrollo Tecnológico (ESIDET); 2012, 2014.</w:t>
                      </w:r>
                    </w:p>
                  </w:txbxContent>
                </v:textbox>
              </v:shape>
            </w:pict>
          </mc:Fallback>
        </mc:AlternateContent>
      </w:r>
      <w:r w:rsidR="00451B0F" w:rsidRPr="007C2077">
        <w:rPr>
          <w:rFonts w:ascii="Calibri" w:eastAsia="Times New Roman" w:hAnsi="Calibri" w:cs="Times New Roman"/>
          <w:noProof/>
          <w:lang w:val="es-ES"/>
        </w:rPr>
        <w:drawing>
          <wp:inline distT="0" distB="0" distL="0" distR="0" wp14:anchorId="4D75BC93" wp14:editId="1BE34851">
            <wp:extent cx="5400000" cy="3265200"/>
            <wp:effectExtent l="0" t="0" r="10795" b="1143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A5EDEE" w14:textId="4B9F6915" w:rsidR="007C2077" w:rsidRPr="007C2077" w:rsidRDefault="00D50A7D" w:rsidP="007C2077">
      <w:pPr>
        <w:spacing w:line="360" w:lineRule="auto"/>
        <w:jc w:val="both"/>
        <w:rPr>
          <w:rFonts w:ascii="Times New Roman" w:eastAsia="MS Mincho" w:hAnsi="Times New Roman" w:cs="Times New Roman"/>
        </w:rPr>
      </w:pPr>
      <w:r>
        <w:rPr>
          <w:rFonts w:ascii="Times New Roman" w:eastAsia="MS Mincho" w:hAnsi="Times New Roman" w:cs="Times New Roman"/>
        </w:rPr>
        <w:tab/>
      </w:r>
    </w:p>
    <w:p w14:paraId="6D70A3BD" w14:textId="3E27AA08" w:rsidR="00D50A7D" w:rsidRDefault="00D50A7D" w:rsidP="007C2077">
      <w:pPr>
        <w:spacing w:line="360" w:lineRule="auto"/>
        <w:jc w:val="both"/>
        <w:rPr>
          <w:rFonts w:ascii="Times New Roman" w:eastAsia="MS Mincho" w:hAnsi="Times New Roman" w:cs="Times New Roman"/>
        </w:rPr>
      </w:pPr>
    </w:p>
    <w:p w14:paraId="4FA58F36" w14:textId="24EBA541" w:rsidR="007C2077" w:rsidRPr="007C2077" w:rsidRDefault="007C2077" w:rsidP="007C2077">
      <w:pPr>
        <w:spacing w:line="360" w:lineRule="auto"/>
        <w:jc w:val="both"/>
        <w:rPr>
          <w:rFonts w:ascii="Times New Roman" w:eastAsia="MS Mincho" w:hAnsi="Times New Roman" w:cs="Times New Roman"/>
        </w:rPr>
      </w:pPr>
      <w:r w:rsidRPr="007C2077">
        <w:rPr>
          <w:rFonts w:ascii="Times New Roman" w:eastAsia="MS Mincho" w:hAnsi="Times New Roman" w:cs="Times New Roman"/>
        </w:rPr>
        <w:t xml:space="preserve">En términos reales, el gasto en Innovación del ramo 38 ejecutado por el </w:t>
      </w:r>
      <w:r w:rsidR="008922A3">
        <w:rPr>
          <w:rFonts w:ascii="Times New Roman" w:eastAsia="MS Mincho" w:hAnsi="Times New Roman" w:cs="Times New Roman"/>
        </w:rPr>
        <w:t>CONACYT</w:t>
      </w:r>
      <w:r w:rsidRPr="007C2077">
        <w:rPr>
          <w:rFonts w:ascii="Times New Roman" w:eastAsia="MS Mincho" w:hAnsi="Times New Roman" w:cs="Times New Roman"/>
        </w:rPr>
        <w:t xml:space="preserve"> ha venido a menos desde el año 2009. Si bien, en el año 2014, tuvo un ligero repunte; no se compara con el despunte del ramo 8 en Agricultura, Ganadería, Desarrollo Rural, Pesca y Alimentación. Lo anterior</w:t>
      </w:r>
      <w:r w:rsidR="00C76584">
        <w:rPr>
          <w:rFonts w:ascii="Times New Roman" w:eastAsia="MS Mincho" w:hAnsi="Times New Roman" w:cs="Times New Roman"/>
        </w:rPr>
        <w:t>,</w:t>
      </w:r>
      <w:r w:rsidRPr="007C2077">
        <w:rPr>
          <w:rFonts w:ascii="Times New Roman" w:eastAsia="MS Mincho" w:hAnsi="Times New Roman" w:cs="Times New Roman"/>
        </w:rPr>
        <w:t xml:space="preserve"> significaría una dispersión de actividades de innovación entre dependencias de orden federal, restando relevancia al Consejo como entidad ejecutora.</w:t>
      </w:r>
    </w:p>
    <w:p w14:paraId="1CA59D18" w14:textId="77777777" w:rsidR="00D50A7D" w:rsidRDefault="007C2077" w:rsidP="00D50A7D">
      <w:pPr>
        <w:spacing w:line="360" w:lineRule="auto"/>
        <w:jc w:val="both"/>
        <w:rPr>
          <w:rFonts w:ascii="Times New Roman" w:eastAsia="MS Mincho" w:hAnsi="Times New Roman" w:cs="Times New Roman"/>
        </w:rPr>
      </w:pPr>
      <w:r w:rsidRPr="007C2077">
        <w:rPr>
          <w:rFonts w:ascii="Times New Roman" w:eastAsia="MS Mincho" w:hAnsi="Times New Roman" w:cs="Times New Roman"/>
        </w:rPr>
        <w:lastRenderedPageBreak/>
        <w:t>Por tipo de actividad, el gasto federal en Ciencia y Tecnología, se ha destinado a cuatro rubros específicos: 1) Investigación Científica y Desarrollo Experimental, 2) Educación y Enseñanza Científica y Técnica, 3) Servicios Científicos y Tecnológicos e 4) Innovación Tecnológica.</w:t>
      </w:r>
    </w:p>
    <w:p w14:paraId="451BC417" w14:textId="77777777" w:rsidR="00D50A7D" w:rsidRDefault="00D50A7D" w:rsidP="00D50A7D">
      <w:pPr>
        <w:spacing w:line="360" w:lineRule="auto"/>
        <w:jc w:val="both"/>
        <w:rPr>
          <w:rFonts w:ascii="Times New Roman" w:eastAsia="MS Mincho" w:hAnsi="Times New Roman" w:cs="Times New Roman"/>
        </w:rPr>
      </w:pPr>
    </w:p>
    <w:p w14:paraId="14E57F60" w14:textId="553E794D" w:rsidR="00D50A7D" w:rsidRPr="00B25602" w:rsidRDefault="00D50A7D" w:rsidP="00D50A7D">
      <w:pPr>
        <w:spacing w:line="360" w:lineRule="auto"/>
        <w:jc w:val="center"/>
        <w:rPr>
          <w:rFonts w:ascii="Times New Roman" w:eastAsia="MS Mincho" w:hAnsi="Times New Roman" w:cs="Times New Roman"/>
          <w:color w:val="323E4F" w:themeColor="text2" w:themeShade="BF"/>
          <w:lang w:val="es-MX"/>
        </w:rPr>
      </w:pPr>
      <w:r w:rsidRPr="00B25602">
        <w:rPr>
          <w:rFonts w:ascii="Times New Roman" w:eastAsia="MS Mincho" w:hAnsi="Times New Roman" w:cs="Times New Roman"/>
          <w:b/>
          <w:bCs/>
          <w:color w:val="323E4F" w:themeColor="text2" w:themeShade="BF"/>
          <w:lang w:val="es-MX"/>
        </w:rPr>
        <w:t>Gráfica 8: Gasto Federal en Ciencia y Tecnología por tipo de actividad, 2008-2017</w:t>
      </w:r>
    </w:p>
    <w:p w14:paraId="1DB98FFD" w14:textId="7679EFCC" w:rsidR="007C2077" w:rsidRPr="007C2077" w:rsidRDefault="00D50A7D" w:rsidP="007C2077">
      <w:pPr>
        <w:spacing w:line="360" w:lineRule="auto"/>
        <w:jc w:val="center"/>
        <w:rPr>
          <w:rFonts w:ascii="Times New Roman" w:eastAsia="MS Mincho" w:hAnsi="Times New Roman" w:cs="Times New Roman"/>
          <w:sz w:val="22"/>
        </w:rPr>
      </w:pPr>
      <w:r>
        <w:rPr>
          <w:noProof/>
        </w:rPr>
        <mc:AlternateContent>
          <mc:Choice Requires="wps">
            <w:drawing>
              <wp:anchor distT="0" distB="0" distL="114300" distR="114300" simplePos="0" relativeHeight="251673600" behindDoc="0" locked="0" layoutInCell="1" allowOverlap="1" wp14:anchorId="74C40B75" wp14:editId="795A0D6F">
                <wp:simplePos x="0" y="0"/>
                <wp:positionH relativeFrom="column">
                  <wp:posOffset>441960</wp:posOffset>
                </wp:positionH>
                <wp:positionV relativeFrom="paragraph">
                  <wp:posOffset>3277870</wp:posOffset>
                </wp:positionV>
                <wp:extent cx="5073948" cy="422989"/>
                <wp:effectExtent l="0" t="0" r="0" b="0"/>
                <wp:wrapNone/>
                <wp:docPr id="14" name="CuadroTexto 1"/>
                <wp:cNvGraphicFramePr/>
                <a:graphic xmlns:a="http://schemas.openxmlformats.org/drawingml/2006/main">
                  <a:graphicData uri="http://schemas.microsoft.com/office/word/2010/wordprocessingShape">
                    <wps:wsp>
                      <wps:cNvSpPr txBox="1"/>
                      <wps:spPr>
                        <a:xfrm>
                          <a:off x="0" y="0"/>
                          <a:ext cx="5073948" cy="422989"/>
                        </a:xfrm>
                        <a:prstGeom prst="rect">
                          <a:avLst/>
                        </a:prstGeom>
                      </wps:spPr>
                      <wps:txbx>
                        <w:txbxContent>
                          <w:p w14:paraId="205160B5" w14:textId="77777777" w:rsidR="007A1A58" w:rsidRPr="00927F81" w:rsidRDefault="007A1A58" w:rsidP="00D50A7D">
                            <w:pPr>
                              <w:rPr>
                                <w:rFonts w:ascii="Times New Roman" w:hAnsi="Times New Roman" w:cs="Times New Roman"/>
                              </w:rPr>
                            </w:pPr>
                            <w:r w:rsidRPr="00927F81">
                              <w:rPr>
                                <w:rFonts w:ascii="Times New Roman" w:hAnsi="Times New Roman" w:cs="Times New Roman"/>
                                <w:b/>
                                <w:bCs/>
                                <w:sz w:val="16"/>
                                <w:szCs w:val="16"/>
                              </w:rPr>
                              <w:t xml:space="preserve">Fuentes: </w:t>
                            </w:r>
                            <w:r w:rsidRPr="00927F81">
                              <w:rPr>
                                <w:rFonts w:ascii="Times New Roman" w:hAnsi="Times New Roman" w:cs="Times New Roman"/>
                                <w:sz w:val="16"/>
                                <w:szCs w:val="16"/>
                              </w:rPr>
                              <w:t>SHCP, Cuenta de la Hacienda Pública Federal, 2008-2017.</w:t>
                            </w:r>
                          </w:p>
                          <w:p w14:paraId="6CF7B03B" w14:textId="77777777" w:rsidR="007A1A58" w:rsidRPr="00927F81" w:rsidRDefault="007A1A58" w:rsidP="00D50A7D">
                            <w:pPr>
                              <w:rPr>
                                <w:rFonts w:ascii="Times New Roman" w:hAnsi="Times New Roman" w:cs="Times New Roman"/>
                              </w:rPr>
                            </w:pPr>
                            <w:r w:rsidRPr="00927F81">
                              <w:rPr>
                                <w:rFonts w:ascii="Times New Roman" w:hAnsi="Times New Roman" w:cs="Times New Roman"/>
                                <w:sz w:val="16"/>
                                <w:szCs w:val="16"/>
                              </w:rPr>
                              <w:t>INEGI, Sistema de Cuentas Nacionales de México.</w:t>
                            </w:r>
                          </w:p>
                        </w:txbxContent>
                      </wps:txbx>
                      <wps:bodyPr vertOverflow="clip" wrap="square" rtlCol="0"/>
                    </wps:wsp>
                  </a:graphicData>
                </a:graphic>
              </wp:anchor>
            </w:drawing>
          </mc:Choice>
          <mc:Fallback>
            <w:pict>
              <v:shape w14:anchorId="74C40B75" id="_x0000_s1035" type="#_x0000_t202" style="position:absolute;left:0;text-align:left;margin-left:34.8pt;margin-top:258.1pt;width:399.5pt;height:33.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" filled="f" stroked="f">
                <v:textbox>
                  <w:txbxContent>
                    <w:p w14:paraId="205160B5" w14:textId="77777777" w:rsidR="007A1A58" w:rsidRPr="00927F81" w:rsidRDefault="007A1A58" w:rsidP="00D50A7D">
                      <w:pPr>
                        <w:rPr>
                          <w:rFonts w:ascii="Times New Roman" w:hAnsi="Times New Roman" w:cs="Times New Roman"/>
                        </w:rPr>
                      </w:pPr>
                      <w:r w:rsidRPr="00927F81">
                        <w:rPr>
                          <w:rFonts w:ascii="Times New Roman" w:hAnsi="Times New Roman" w:cs="Times New Roman"/>
                          <w:b/>
                          <w:bCs/>
                          <w:sz w:val="16"/>
                          <w:szCs w:val="16"/>
                        </w:rPr>
                        <w:t xml:space="preserve">Fuentes: </w:t>
                      </w:r>
                      <w:r w:rsidRPr="00927F81">
                        <w:rPr>
                          <w:rFonts w:ascii="Times New Roman" w:hAnsi="Times New Roman" w:cs="Times New Roman"/>
                          <w:sz w:val="16"/>
                          <w:szCs w:val="16"/>
                        </w:rPr>
                        <w:t>SHCP, Cuenta de la Hacienda Pública Federal, 2008-2017.</w:t>
                      </w:r>
                    </w:p>
                    <w:p w14:paraId="6CF7B03B" w14:textId="77777777" w:rsidR="007A1A58" w:rsidRPr="00927F81" w:rsidRDefault="007A1A58" w:rsidP="00D50A7D">
                      <w:pPr>
                        <w:rPr>
                          <w:rFonts w:ascii="Times New Roman" w:hAnsi="Times New Roman" w:cs="Times New Roman"/>
                        </w:rPr>
                      </w:pPr>
                      <w:r w:rsidRPr="00927F81">
                        <w:rPr>
                          <w:rFonts w:ascii="Times New Roman" w:hAnsi="Times New Roman" w:cs="Times New Roman"/>
                          <w:sz w:val="16"/>
                          <w:szCs w:val="16"/>
                        </w:rPr>
                        <w:t>INEGI, Sistema de Cuentas Nacionales de México.</w:t>
                      </w:r>
                    </w:p>
                  </w:txbxContent>
                </v:textbox>
              </v:shape>
            </w:pict>
          </mc:Fallback>
        </mc:AlternateContent>
      </w:r>
      <w:r w:rsidR="007C2077" w:rsidRPr="002E2BCF">
        <w:rPr>
          <w:rFonts w:ascii="Times New Roman" w:eastAsia="Times New Roman" w:hAnsi="Times New Roman" w:cs="Times New Roman"/>
          <w:noProof/>
          <w:sz w:val="14"/>
          <w:szCs w:val="14"/>
          <w:lang w:val="es-ES"/>
        </w:rPr>
        <w:drawing>
          <wp:inline distT="0" distB="0" distL="0" distR="0" wp14:anchorId="582EEB20" wp14:editId="5028D8B1">
            <wp:extent cx="5400000" cy="3265200"/>
            <wp:effectExtent l="0" t="0" r="10795" b="1143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D58C30" w14:textId="3EF15ABF" w:rsidR="007C2077" w:rsidRDefault="007C2077" w:rsidP="007C2077">
      <w:pPr>
        <w:spacing w:line="360" w:lineRule="auto"/>
        <w:jc w:val="both"/>
        <w:rPr>
          <w:rFonts w:ascii="Times New Roman" w:eastAsia="MS Mincho" w:hAnsi="Times New Roman" w:cs="Times New Roman"/>
        </w:rPr>
      </w:pPr>
    </w:p>
    <w:p w14:paraId="4C33321E" w14:textId="77777777" w:rsidR="00D50A7D" w:rsidRPr="007C2077" w:rsidRDefault="00D50A7D" w:rsidP="007C2077">
      <w:pPr>
        <w:spacing w:line="360" w:lineRule="auto"/>
        <w:jc w:val="both"/>
        <w:rPr>
          <w:rFonts w:ascii="Times New Roman" w:eastAsia="MS Mincho" w:hAnsi="Times New Roman" w:cs="Times New Roman"/>
        </w:rPr>
      </w:pPr>
    </w:p>
    <w:p w14:paraId="056FFEE2" w14:textId="77777777" w:rsidR="007C2077" w:rsidRPr="007C2077" w:rsidRDefault="007C2077" w:rsidP="007C2077">
      <w:pPr>
        <w:spacing w:line="360" w:lineRule="auto"/>
        <w:jc w:val="both"/>
        <w:rPr>
          <w:rFonts w:ascii="Times New Roman" w:eastAsia="MS Mincho" w:hAnsi="Times New Roman" w:cs="Times New Roman"/>
        </w:rPr>
      </w:pPr>
      <w:r w:rsidRPr="007C2077">
        <w:rPr>
          <w:rFonts w:ascii="Times New Roman" w:eastAsia="MS Mincho" w:hAnsi="Times New Roman" w:cs="Times New Roman"/>
        </w:rPr>
        <w:t>Con lo anterior, el gasto federal tiene preferencia hacia actividades de investigación científica y desarrollo experimental. Estas actividades podrán hallarse en las universidades, centros de investigación públicos y privados; lugares fundamentales para que, a través de los fondos sectoriales, la APF pueda aprovechar las capacidades instaladas en actividades con base en el desarrollo científico, tecnológico y de innovación.</w:t>
      </w:r>
    </w:p>
    <w:p w14:paraId="3491D7E1" w14:textId="33B55C56" w:rsidR="007C2077" w:rsidRPr="00DB1A6A" w:rsidRDefault="007C2077" w:rsidP="009458C6">
      <w:pPr>
        <w:pStyle w:val="Ttulo2"/>
        <w:rPr>
          <w:rFonts w:ascii="Times New Roman" w:eastAsia="Times New Roman" w:hAnsi="Times New Roman" w:cs="Times New Roman"/>
          <w:b/>
          <w:bCs/>
          <w:sz w:val="24"/>
          <w:szCs w:val="24"/>
        </w:rPr>
      </w:pPr>
      <w:bookmarkStart w:id="18" w:name="_Toc32920320"/>
      <w:r w:rsidRPr="00DB1A6A">
        <w:rPr>
          <w:rFonts w:ascii="Times New Roman" w:eastAsia="Times New Roman" w:hAnsi="Times New Roman" w:cs="Times New Roman"/>
          <w:b/>
          <w:bCs/>
          <w:sz w:val="24"/>
          <w:szCs w:val="24"/>
        </w:rPr>
        <w:lastRenderedPageBreak/>
        <w:t>II.3. Experiencias de atención al problema</w:t>
      </w:r>
      <w:bookmarkEnd w:id="8"/>
      <w:bookmarkEnd w:id="18"/>
    </w:p>
    <w:p w14:paraId="4FE42465" w14:textId="080B427E" w:rsidR="00BF3AE5" w:rsidRPr="00DB1A6A" w:rsidRDefault="007C2077" w:rsidP="002336F8">
      <w:pPr>
        <w:pStyle w:val="Ttulo3"/>
        <w:spacing w:before="100" w:beforeAutospacing="1"/>
        <w:rPr>
          <w:rFonts w:ascii="Times New Roman" w:eastAsia="Times New Roman" w:hAnsi="Times New Roman" w:cs="Times New Roman"/>
          <w:bCs/>
          <w:color w:val="2F5496" w:themeColor="accent1" w:themeShade="BF"/>
        </w:rPr>
      </w:pPr>
      <w:bookmarkStart w:id="19" w:name="_Toc453749478"/>
      <w:bookmarkStart w:id="20" w:name="_Toc32920321"/>
      <w:r w:rsidRPr="00DB1A6A">
        <w:rPr>
          <w:rFonts w:ascii="Times New Roman" w:eastAsia="Times New Roman" w:hAnsi="Times New Roman" w:cs="Times New Roman"/>
          <w:b/>
          <w:color w:val="2F5496" w:themeColor="accent1" w:themeShade="BF"/>
        </w:rPr>
        <w:t xml:space="preserve">II.3.1. El caso del </w:t>
      </w:r>
      <w:r w:rsidRPr="00DB1A6A">
        <w:rPr>
          <w:rFonts w:ascii="Times New Roman" w:eastAsia="Times New Roman" w:hAnsi="Times New Roman" w:cs="Times New Roman"/>
          <w:b/>
          <w:color w:val="2F5496" w:themeColor="accent1" w:themeShade="BF"/>
          <w:shd w:val="clear" w:color="auto" w:fill="FFFFFF"/>
        </w:rPr>
        <w:t>Fondo de Fomento al Desarrollo Científico y Tecnológico</w:t>
      </w:r>
      <w:r w:rsidRPr="00DB1A6A">
        <w:rPr>
          <w:rFonts w:ascii="Times New Roman" w:eastAsia="Times New Roman" w:hAnsi="Times New Roman" w:cs="Times New Roman"/>
          <w:bCs/>
          <w:color w:val="2F5496" w:themeColor="accent1" w:themeShade="BF"/>
        </w:rPr>
        <w:t>.</w:t>
      </w:r>
      <w:bookmarkStart w:id="21" w:name="_Toc447611668"/>
      <w:bookmarkEnd w:id="19"/>
      <w:bookmarkEnd w:id="20"/>
    </w:p>
    <w:p w14:paraId="799F524C" w14:textId="22594CB5" w:rsidR="007C2077" w:rsidRPr="007C2077" w:rsidRDefault="007C2077" w:rsidP="002336F8">
      <w:pPr>
        <w:spacing w:before="100" w:beforeAutospacing="1" w:line="360" w:lineRule="auto"/>
        <w:jc w:val="both"/>
        <w:rPr>
          <w:rFonts w:ascii="Times New Roman" w:eastAsia="Times New Roman" w:hAnsi="Times New Roman" w:cs="Times New Roman"/>
          <w:shd w:val="clear" w:color="auto" w:fill="FFFFFF"/>
        </w:rPr>
      </w:pPr>
      <w:r w:rsidRPr="007C2077">
        <w:rPr>
          <w:rFonts w:ascii="Times New Roman" w:eastAsia="Times New Roman" w:hAnsi="Times New Roman" w:cs="Times New Roman"/>
        </w:rPr>
        <w:t xml:space="preserve">Como ejemplo de apoyo a las actividades de Innovación y Desarrollo, se toma el caso de Chile, a través del Comisión Nacional de Investigación Científica y Tecnológica (CONICYT). En 1991, se creó el </w:t>
      </w:r>
      <w:r w:rsidRPr="007C2077">
        <w:rPr>
          <w:rFonts w:ascii="Times New Roman" w:eastAsia="Times New Roman" w:hAnsi="Times New Roman" w:cs="Times New Roman"/>
          <w:shd w:val="clear" w:color="auto" w:fill="FFFFFF"/>
        </w:rPr>
        <w:t xml:space="preserve">Fondo de Fomento al Desarrollo Científico y Tecnológico (FONDEF). </w:t>
      </w:r>
    </w:p>
    <w:p w14:paraId="70253800" w14:textId="77777777" w:rsidR="007C2077" w:rsidRPr="007C2077" w:rsidRDefault="007C2077" w:rsidP="007C2077">
      <w:pPr>
        <w:spacing w:line="360" w:lineRule="auto"/>
        <w:jc w:val="both"/>
        <w:rPr>
          <w:rFonts w:ascii="Times New Roman" w:eastAsia="Times New Roman" w:hAnsi="Times New Roman" w:cs="Times New Roman"/>
          <w:shd w:val="clear" w:color="auto" w:fill="FFFFFF"/>
        </w:rPr>
      </w:pPr>
    </w:p>
    <w:p w14:paraId="5EE244B8" w14:textId="1396DFA3" w:rsidR="007C2077" w:rsidRPr="007C2077" w:rsidRDefault="007C2077" w:rsidP="007C2077">
      <w:pPr>
        <w:spacing w:line="360" w:lineRule="auto"/>
        <w:jc w:val="both"/>
        <w:rPr>
          <w:rFonts w:ascii="Times New Roman" w:eastAsia="Times New Roman" w:hAnsi="Times New Roman" w:cs="Times New Roman"/>
          <w:shd w:val="clear" w:color="auto" w:fill="FFFFFF"/>
        </w:rPr>
      </w:pPr>
      <w:r w:rsidRPr="007C2077">
        <w:rPr>
          <w:rFonts w:ascii="Times New Roman" w:eastAsia="Times New Roman" w:hAnsi="Times New Roman" w:cs="Times New Roman"/>
          <w:shd w:val="clear" w:color="auto" w:fill="FFFFFF"/>
        </w:rPr>
        <w:t>El propósito principal del programa consiste en “Contribuir al aumento de la competitividad de la economía nacional y al mejoramiento de la calidad de vida de los chilenos, promoviendo la vinculación entre instituciones de investigación y empresas en la realización de proyectos de investigación aplicada, desarrollo precompetitivo y transferencia tecnológica”</w:t>
      </w:r>
      <w:r w:rsidR="00D50A7D">
        <w:rPr>
          <w:rFonts w:ascii="Times New Roman" w:eastAsia="Times New Roman" w:hAnsi="Times New Roman" w:cs="Times New Roman"/>
          <w:shd w:val="clear" w:color="auto" w:fill="FFFFFF"/>
        </w:rPr>
        <w:t xml:space="preserve">, </w:t>
      </w:r>
      <w:r w:rsidRPr="007C2077">
        <w:rPr>
          <w:rFonts w:ascii="Times New Roman" w:eastAsia="Times New Roman" w:hAnsi="Times New Roman" w:cs="Times New Roman"/>
          <w:shd w:val="clear" w:color="auto" w:fill="FFFFFF"/>
        </w:rPr>
        <w:t>(CONICYT, 2019). Con este propósito, el FONDEF promovió una serie de mecanismos, entre los que destacan el papel de la vinculación entre la academia,</w:t>
      </w:r>
      <w:r w:rsidRPr="007C2077" w:rsidDel="00813A20">
        <w:rPr>
          <w:rFonts w:ascii="Times New Roman" w:eastAsia="Times New Roman" w:hAnsi="Times New Roman" w:cs="Times New Roman"/>
          <w:shd w:val="clear" w:color="auto" w:fill="FFFFFF"/>
        </w:rPr>
        <w:t xml:space="preserve"> </w:t>
      </w:r>
      <w:r w:rsidRPr="007C2077">
        <w:rPr>
          <w:rFonts w:ascii="Times New Roman" w:eastAsia="Times New Roman" w:hAnsi="Times New Roman" w:cs="Times New Roman"/>
          <w:shd w:val="clear" w:color="auto" w:fill="FFFFFF"/>
        </w:rPr>
        <w:t>las empresas y las instituciones de investigación para el desarrollo de proyectos de investigación aplicada y de desarrollo tecnológico.</w:t>
      </w:r>
    </w:p>
    <w:p w14:paraId="29733644" w14:textId="77777777" w:rsidR="007C2077" w:rsidRPr="007C2077" w:rsidRDefault="007C2077" w:rsidP="007C2077">
      <w:pPr>
        <w:spacing w:line="360" w:lineRule="auto"/>
        <w:jc w:val="both"/>
        <w:rPr>
          <w:rFonts w:ascii="Times New Roman" w:eastAsia="Times New Roman" w:hAnsi="Times New Roman" w:cs="Times New Roman"/>
          <w:shd w:val="clear" w:color="auto" w:fill="FFFFFF"/>
        </w:rPr>
      </w:pPr>
    </w:p>
    <w:p w14:paraId="43F58600" w14:textId="77777777" w:rsidR="007C2077" w:rsidRPr="007C2077" w:rsidRDefault="007C2077" w:rsidP="007C2077">
      <w:pPr>
        <w:spacing w:line="360" w:lineRule="auto"/>
        <w:jc w:val="both"/>
        <w:rPr>
          <w:rFonts w:ascii="Times New Roman" w:eastAsia="Times New Roman" w:hAnsi="Times New Roman" w:cs="Times New Roman"/>
          <w:shd w:val="clear" w:color="auto" w:fill="FFFFFF"/>
        </w:rPr>
      </w:pPr>
      <w:r w:rsidRPr="007C2077">
        <w:rPr>
          <w:rFonts w:ascii="Times New Roman" w:eastAsia="Times New Roman" w:hAnsi="Times New Roman" w:cs="Times New Roman"/>
          <w:shd w:val="clear" w:color="auto" w:fill="FFFFFF"/>
        </w:rPr>
        <w:t>La creación de FONDEF apuntó a una política de desarrollo científico-tecnológico del Gobierno de Chile</w:t>
      </w:r>
      <w:r w:rsidRPr="007C2077">
        <w:rPr>
          <w:rFonts w:ascii="Times New Roman" w:eastAsia="Times New Roman" w:hAnsi="Times New Roman" w:cs="Times New Roman"/>
          <w:shd w:val="clear" w:color="auto" w:fill="FFFFFF"/>
          <w:vertAlign w:val="superscript"/>
        </w:rPr>
        <w:footnoteReference w:id="2"/>
      </w:r>
      <w:r w:rsidRPr="007C2077">
        <w:rPr>
          <w:rFonts w:ascii="Times New Roman" w:eastAsia="Times New Roman" w:hAnsi="Times New Roman" w:cs="Times New Roman"/>
          <w:shd w:val="clear" w:color="auto" w:fill="FFFFFF"/>
        </w:rPr>
        <w:t xml:space="preserve">, como parte de una estrategia nacional de desarrollo e innovación tecnológica tendiente a lograr una fase de maduración tecnológica de la economía chilena a mediados del siglo XXI. Esta política tuvo como estrategia el aprovechamiento de las capacidades científicas y tecnológicas, tanto de universidades e institutos tecnológicos. Los FOSEC, en México, incorporan esta misma estrategia de acercamiento entre los distintos actores para aprovechar los conocimientos e infraestructura. </w:t>
      </w:r>
    </w:p>
    <w:p w14:paraId="3D2289CA" w14:textId="77777777" w:rsidR="007C2077" w:rsidRPr="007C2077" w:rsidRDefault="007C2077" w:rsidP="007C2077">
      <w:pPr>
        <w:spacing w:line="360" w:lineRule="auto"/>
        <w:jc w:val="both"/>
        <w:rPr>
          <w:rFonts w:ascii="Times New Roman" w:eastAsia="Times New Roman" w:hAnsi="Times New Roman" w:cs="Times New Roman"/>
          <w:shd w:val="clear" w:color="auto" w:fill="FFFFFF"/>
        </w:rPr>
      </w:pPr>
    </w:p>
    <w:p w14:paraId="710CD16A" w14:textId="77777777" w:rsidR="007C2077" w:rsidRPr="007C2077" w:rsidRDefault="007C2077" w:rsidP="007C2077">
      <w:pPr>
        <w:spacing w:line="360" w:lineRule="auto"/>
        <w:jc w:val="both"/>
        <w:rPr>
          <w:rFonts w:ascii="Times New Roman" w:eastAsia="Times New Roman" w:hAnsi="Times New Roman" w:cs="Times New Roman"/>
          <w:shd w:val="clear" w:color="auto" w:fill="FFFFFF"/>
        </w:rPr>
      </w:pPr>
      <w:r w:rsidRPr="007C2077">
        <w:rPr>
          <w:rFonts w:ascii="Times New Roman" w:eastAsia="Times New Roman" w:hAnsi="Times New Roman" w:cs="Times New Roman"/>
          <w:shd w:val="clear" w:color="auto" w:fill="FFFFFF"/>
        </w:rPr>
        <w:t>Los proyectos de investigación y desarrollo que financia el FONDEF se destacan por:</w:t>
      </w:r>
    </w:p>
    <w:p w14:paraId="13CAB0D8" w14:textId="77777777" w:rsidR="007C2077" w:rsidRPr="007C2077" w:rsidRDefault="007C2077" w:rsidP="007C2077">
      <w:pPr>
        <w:spacing w:line="360" w:lineRule="auto"/>
        <w:jc w:val="both"/>
        <w:rPr>
          <w:rFonts w:ascii="Times New Roman" w:eastAsia="Times New Roman" w:hAnsi="Times New Roman" w:cs="Times New Roman"/>
          <w:shd w:val="clear" w:color="auto" w:fill="FFFFFF"/>
        </w:rPr>
      </w:pPr>
    </w:p>
    <w:p w14:paraId="61EF0025" w14:textId="77777777" w:rsidR="007C2077" w:rsidRPr="007C2077" w:rsidRDefault="007C2077" w:rsidP="007C2077">
      <w:pPr>
        <w:numPr>
          <w:ilvl w:val="0"/>
          <w:numId w:val="4"/>
        </w:numPr>
        <w:spacing w:line="360" w:lineRule="auto"/>
        <w:jc w:val="both"/>
        <w:rPr>
          <w:rFonts w:ascii="Times New Roman" w:eastAsia="Times New Roman" w:hAnsi="Times New Roman" w:cs="Times New Roman"/>
          <w:shd w:val="clear" w:color="auto" w:fill="FFFFFF"/>
        </w:rPr>
      </w:pPr>
      <w:r w:rsidRPr="007C2077">
        <w:rPr>
          <w:rFonts w:ascii="Times New Roman" w:eastAsia="Times New Roman" w:hAnsi="Times New Roman" w:cs="Times New Roman"/>
          <w:shd w:val="clear" w:color="auto" w:fill="FFFFFF"/>
        </w:rPr>
        <w:lastRenderedPageBreak/>
        <w:t>Tener un fuerte componente científico.</w:t>
      </w:r>
    </w:p>
    <w:p w14:paraId="28E575B1" w14:textId="77777777" w:rsidR="007C2077" w:rsidRPr="007C2077" w:rsidRDefault="007C2077" w:rsidP="007C2077">
      <w:pPr>
        <w:numPr>
          <w:ilvl w:val="0"/>
          <w:numId w:val="4"/>
        </w:numPr>
        <w:spacing w:line="360" w:lineRule="auto"/>
        <w:jc w:val="both"/>
        <w:rPr>
          <w:rFonts w:ascii="Times New Roman" w:eastAsia="Times New Roman" w:hAnsi="Times New Roman" w:cs="Times New Roman"/>
          <w:shd w:val="clear" w:color="auto" w:fill="FFFFFF"/>
        </w:rPr>
      </w:pPr>
      <w:r w:rsidRPr="007C2077">
        <w:rPr>
          <w:rFonts w:ascii="Times New Roman" w:eastAsia="Times New Roman" w:hAnsi="Times New Roman" w:cs="Times New Roman"/>
          <w:shd w:val="clear" w:color="auto" w:fill="FFFFFF"/>
        </w:rPr>
        <w:t>Estar orientados a crear negocios tecnológicos relevantes en su impacto económico-social, a partir de los resultados obtenidos.</w:t>
      </w:r>
    </w:p>
    <w:p w14:paraId="05E0D082" w14:textId="77777777" w:rsidR="007C2077" w:rsidRPr="007C2077" w:rsidRDefault="007C2077" w:rsidP="007C2077">
      <w:pPr>
        <w:numPr>
          <w:ilvl w:val="0"/>
          <w:numId w:val="4"/>
        </w:numPr>
        <w:spacing w:line="360" w:lineRule="auto"/>
        <w:jc w:val="both"/>
        <w:rPr>
          <w:rFonts w:ascii="Times New Roman" w:eastAsia="Times New Roman" w:hAnsi="Times New Roman" w:cs="Times New Roman"/>
          <w:shd w:val="clear" w:color="auto" w:fill="FFFFFF"/>
        </w:rPr>
      </w:pPr>
      <w:r w:rsidRPr="007C2077">
        <w:rPr>
          <w:rFonts w:ascii="Times New Roman" w:eastAsia="Times New Roman" w:hAnsi="Times New Roman" w:cs="Times New Roman"/>
          <w:shd w:val="clear" w:color="auto" w:fill="FFFFFF"/>
        </w:rPr>
        <w:t>Tener alto impacto económico-social.</w:t>
      </w:r>
    </w:p>
    <w:p w14:paraId="1CABD076" w14:textId="77777777" w:rsidR="007C2077" w:rsidRPr="007C2077" w:rsidRDefault="007C2077" w:rsidP="007C2077">
      <w:pPr>
        <w:spacing w:line="360" w:lineRule="auto"/>
        <w:ind w:left="720"/>
        <w:jc w:val="both"/>
        <w:rPr>
          <w:rFonts w:ascii="Times New Roman" w:eastAsia="Times New Roman" w:hAnsi="Times New Roman" w:cs="Times New Roman"/>
          <w:shd w:val="clear" w:color="auto" w:fill="FFFFFF"/>
        </w:rPr>
      </w:pPr>
    </w:p>
    <w:p w14:paraId="3E86D52C" w14:textId="471B7B17" w:rsidR="007C2077" w:rsidRPr="007C2077" w:rsidRDefault="007C2077" w:rsidP="007C2077">
      <w:pPr>
        <w:spacing w:line="360" w:lineRule="auto"/>
        <w:jc w:val="both"/>
        <w:rPr>
          <w:rFonts w:ascii="Times New Roman" w:eastAsia="Times New Roman" w:hAnsi="Times New Roman" w:cs="Times New Roman"/>
          <w:shd w:val="clear" w:color="auto" w:fill="FFFFFF"/>
        </w:rPr>
      </w:pPr>
      <w:r w:rsidRPr="007C2077">
        <w:rPr>
          <w:rFonts w:ascii="Times New Roman" w:eastAsia="Times New Roman" w:hAnsi="Times New Roman" w:cs="Times New Roman"/>
          <w:shd w:val="clear" w:color="auto" w:fill="FFFFFF"/>
        </w:rPr>
        <w:t xml:space="preserve">En este caso, las líneas de financiamiento chileno se encaminan a Universidades e Institutos de investigación sin fines de lucro, como postulantes principales. La estrategia del gobierno </w:t>
      </w:r>
      <w:r w:rsidRPr="007C2077">
        <w:rPr>
          <w:rFonts w:ascii="Times New Roman" w:eastAsia="Times New Roman" w:hAnsi="Times New Roman" w:cs="Times New Roman"/>
          <w:b/>
          <w:shd w:val="clear" w:color="auto" w:fill="FFFFFF"/>
        </w:rPr>
        <w:t>se orienta a generar una vinculación con empresas productivas u otras contrapartes del quehacer público del país</w:t>
      </w:r>
      <w:r w:rsidRPr="007C2077">
        <w:rPr>
          <w:rFonts w:ascii="Times New Roman" w:eastAsia="Times New Roman" w:hAnsi="Times New Roman" w:cs="Times New Roman"/>
          <w:shd w:val="clear" w:color="auto" w:fill="FFFFFF"/>
        </w:rPr>
        <w:t>. El proceso de convocatoria se realiza mediante concursos públicos.</w:t>
      </w:r>
      <w:r w:rsidR="007A0ADA">
        <w:rPr>
          <w:rFonts w:ascii="Times New Roman" w:eastAsia="Times New Roman" w:hAnsi="Times New Roman" w:cs="Times New Roman"/>
          <w:shd w:val="clear" w:color="auto" w:fill="FFFFFF"/>
        </w:rPr>
        <w:t xml:space="preserve"> </w:t>
      </w:r>
      <w:r w:rsidRPr="007C2077">
        <w:rPr>
          <w:rFonts w:ascii="Times New Roman" w:eastAsia="Times New Roman" w:hAnsi="Times New Roman" w:cs="Times New Roman"/>
          <w:shd w:val="clear" w:color="auto" w:fill="FFFFFF"/>
        </w:rPr>
        <w:t xml:space="preserve">Los instrumentos de apoyo con los que cuenta el FONDEF se presentan a manera de resumen en la tabla </w:t>
      </w:r>
      <w:r w:rsidR="007A0ADA">
        <w:rPr>
          <w:rFonts w:ascii="Times New Roman" w:eastAsia="Times New Roman" w:hAnsi="Times New Roman" w:cs="Times New Roman"/>
          <w:shd w:val="clear" w:color="auto" w:fill="FFFFFF"/>
        </w:rPr>
        <w:t>2.</w:t>
      </w:r>
    </w:p>
    <w:p w14:paraId="55ACCE1A" w14:textId="77777777" w:rsidR="007C2077" w:rsidRPr="007C2077" w:rsidRDefault="007C2077" w:rsidP="007C2077">
      <w:pPr>
        <w:spacing w:line="360" w:lineRule="auto"/>
        <w:jc w:val="both"/>
        <w:rPr>
          <w:rFonts w:ascii="Times New Roman" w:eastAsia="Times New Roman" w:hAnsi="Times New Roman" w:cs="Times New Roman"/>
          <w:b/>
          <w:shd w:val="clear" w:color="auto" w:fill="FFFFFF"/>
        </w:rPr>
      </w:pPr>
    </w:p>
    <w:p w14:paraId="616BA278" w14:textId="46B94218" w:rsidR="007C2077" w:rsidRPr="00B25602" w:rsidRDefault="007C2077" w:rsidP="007A0ADA">
      <w:pPr>
        <w:spacing w:line="360" w:lineRule="auto"/>
        <w:jc w:val="center"/>
        <w:rPr>
          <w:rFonts w:ascii="Times New Roman" w:eastAsia="Times New Roman" w:hAnsi="Times New Roman" w:cs="Times New Roman"/>
          <w:b/>
          <w:color w:val="323E4F" w:themeColor="text2" w:themeShade="BF"/>
          <w:shd w:val="clear" w:color="auto" w:fill="FFFFFF"/>
        </w:rPr>
      </w:pPr>
      <w:r w:rsidRPr="00B25602">
        <w:rPr>
          <w:rFonts w:ascii="Times New Roman" w:eastAsia="Times New Roman" w:hAnsi="Times New Roman" w:cs="Times New Roman"/>
          <w:b/>
          <w:color w:val="323E4F" w:themeColor="text2" w:themeShade="BF"/>
          <w:shd w:val="clear" w:color="auto" w:fill="FFFFFF"/>
        </w:rPr>
        <w:t xml:space="preserve">Tabla </w:t>
      </w:r>
      <w:r w:rsidR="007A0ADA" w:rsidRPr="00B25602">
        <w:rPr>
          <w:rFonts w:ascii="Times New Roman" w:eastAsia="Times New Roman" w:hAnsi="Times New Roman" w:cs="Times New Roman"/>
          <w:b/>
          <w:color w:val="323E4F" w:themeColor="text2" w:themeShade="BF"/>
          <w:shd w:val="clear" w:color="auto" w:fill="FFFFFF"/>
        </w:rPr>
        <w:t>2. Instrumentos de apoyo del FONDEF</w:t>
      </w:r>
    </w:p>
    <w:p w14:paraId="7944CC6D" w14:textId="77777777" w:rsidR="007C2077" w:rsidRPr="007C2077" w:rsidRDefault="007C2077" w:rsidP="007A0ADA">
      <w:pPr>
        <w:spacing w:line="360" w:lineRule="auto"/>
        <w:jc w:val="center"/>
        <w:rPr>
          <w:rFonts w:ascii="Times New Roman" w:eastAsia="Times New Roman" w:hAnsi="Times New Roman" w:cs="Times New Roman"/>
          <w:shd w:val="clear" w:color="auto" w:fill="FFFFFF"/>
        </w:rPr>
      </w:pPr>
      <w:r w:rsidRPr="007C2077">
        <w:rPr>
          <w:rFonts w:ascii="Times New Roman" w:eastAsia="Times New Roman" w:hAnsi="Times New Roman" w:cs="Times New Roman"/>
          <w:noProof/>
          <w:lang w:val="es-ES"/>
        </w:rPr>
        <w:drawing>
          <wp:inline distT="0" distB="0" distL="0" distR="0" wp14:anchorId="435E2648" wp14:editId="51637A08">
            <wp:extent cx="5425834" cy="227076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0297" cy="2272628"/>
                    </a:xfrm>
                    <a:prstGeom prst="rect">
                      <a:avLst/>
                    </a:prstGeom>
                    <a:noFill/>
                    <a:ln>
                      <a:noFill/>
                    </a:ln>
                  </pic:spPr>
                </pic:pic>
              </a:graphicData>
            </a:graphic>
          </wp:inline>
        </w:drawing>
      </w:r>
    </w:p>
    <w:p w14:paraId="5F6374F2" w14:textId="77777777" w:rsidR="007C2077" w:rsidRPr="007C2077" w:rsidRDefault="007C2077" w:rsidP="007C2077">
      <w:pPr>
        <w:autoSpaceDE w:val="0"/>
        <w:autoSpaceDN w:val="0"/>
        <w:adjustRightInd w:val="0"/>
        <w:spacing w:line="360" w:lineRule="auto"/>
        <w:jc w:val="both"/>
        <w:rPr>
          <w:rFonts w:ascii="Times New Roman" w:eastAsia="MS Mincho" w:hAnsi="Times New Roman" w:cs="Times New Roman"/>
        </w:rPr>
      </w:pPr>
    </w:p>
    <w:p w14:paraId="26707F1C" w14:textId="7002EEF2" w:rsidR="007C2077" w:rsidRDefault="007C2077" w:rsidP="007C2077">
      <w:pPr>
        <w:autoSpaceDE w:val="0"/>
        <w:autoSpaceDN w:val="0"/>
        <w:adjustRightInd w:val="0"/>
        <w:spacing w:line="360" w:lineRule="auto"/>
        <w:jc w:val="both"/>
        <w:rPr>
          <w:rFonts w:ascii="Times New Roman" w:eastAsia="MS Mincho" w:hAnsi="Times New Roman" w:cs="Times New Roman"/>
        </w:rPr>
      </w:pPr>
      <w:r w:rsidRPr="007C2077">
        <w:rPr>
          <w:rFonts w:ascii="Times New Roman" w:eastAsia="MS Mincho" w:hAnsi="Times New Roman" w:cs="Times New Roman"/>
        </w:rPr>
        <w:t>El Fondo chileno, desde su creación en 1991, “ha financiado un total de 956 proyectos, con una inversión acumulada que ya supera los 258 mil millones de pesos reales”.</w:t>
      </w:r>
      <w:sdt>
        <w:sdtPr>
          <w:rPr>
            <w:rFonts w:ascii="Times New Roman" w:eastAsia="MS Mincho" w:hAnsi="Times New Roman" w:cs="Times New Roman"/>
          </w:rPr>
          <w:id w:val="716628113"/>
          <w:citation/>
        </w:sdtPr>
        <w:sdtContent>
          <w:r w:rsidRPr="007C2077">
            <w:rPr>
              <w:rFonts w:ascii="Times New Roman" w:eastAsia="MS Mincho" w:hAnsi="Times New Roman" w:cs="Times New Roman"/>
            </w:rPr>
            <w:fldChar w:fldCharType="begin"/>
          </w:r>
          <w:r w:rsidRPr="007C2077">
            <w:rPr>
              <w:rFonts w:ascii="Times New Roman" w:eastAsia="MS Mincho" w:hAnsi="Times New Roman" w:cs="Times New Roman"/>
              <w:lang w:val="es-MX"/>
            </w:rPr>
            <w:instrText xml:space="preserve"> CITATION CON09 \l 2058 </w:instrText>
          </w:r>
          <w:r w:rsidRPr="007C2077">
            <w:rPr>
              <w:rFonts w:ascii="Times New Roman" w:eastAsia="MS Mincho" w:hAnsi="Times New Roman" w:cs="Times New Roman"/>
            </w:rPr>
            <w:fldChar w:fldCharType="separate"/>
          </w:r>
          <w:r w:rsidRPr="007C2077">
            <w:rPr>
              <w:rFonts w:ascii="Times New Roman" w:eastAsia="MS Mincho" w:hAnsi="Times New Roman" w:cs="Times New Roman"/>
              <w:noProof/>
              <w:lang w:val="es-MX"/>
            </w:rPr>
            <w:t xml:space="preserve"> (CONICYT, 2009)</w:t>
          </w:r>
          <w:r w:rsidRPr="007C2077">
            <w:rPr>
              <w:rFonts w:ascii="Times New Roman" w:eastAsia="MS Mincho" w:hAnsi="Times New Roman" w:cs="Times New Roman"/>
            </w:rPr>
            <w:fldChar w:fldCharType="end"/>
          </w:r>
        </w:sdtContent>
      </w:sdt>
      <w:r w:rsidRPr="007C2077">
        <w:rPr>
          <w:rFonts w:ascii="Times New Roman" w:eastAsia="MS Mincho" w:hAnsi="Times New Roman" w:cs="Times New Roman"/>
        </w:rPr>
        <w:t>.</w:t>
      </w:r>
      <w:r w:rsidR="007A0ADA">
        <w:rPr>
          <w:rFonts w:ascii="Times New Roman" w:eastAsia="MS Mincho" w:hAnsi="Times New Roman" w:cs="Times New Roman"/>
        </w:rPr>
        <w:t xml:space="preserve"> </w:t>
      </w:r>
      <w:r w:rsidRPr="007C2077">
        <w:rPr>
          <w:rFonts w:ascii="Times New Roman" w:eastAsia="MS Mincho" w:hAnsi="Times New Roman" w:cs="Times New Roman"/>
        </w:rPr>
        <w:t xml:space="preserve">La forma en que los recursos se han distribuido entre sectores se puede apreciar en la tabla </w:t>
      </w:r>
      <w:r w:rsidR="007A0ADA">
        <w:rPr>
          <w:rFonts w:ascii="Times New Roman" w:eastAsia="MS Mincho" w:hAnsi="Times New Roman" w:cs="Times New Roman"/>
        </w:rPr>
        <w:t>3</w:t>
      </w:r>
      <w:r w:rsidRPr="007C2077">
        <w:rPr>
          <w:rFonts w:ascii="Times New Roman" w:eastAsia="MS Mincho" w:hAnsi="Times New Roman" w:cs="Times New Roman"/>
        </w:rPr>
        <w:t>, en donde se presenta el comparativo entre 2005 y 2009, teniendo como sectores relevantes a la pesca y agricultura, energía y aguas y agropecuaria.</w:t>
      </w:r>
    </w:p>
    <w:p w14:paraId="3B95A882" w14:textId="77777777" w:rsidR="0005403A" w:rsidRPr="007C2077" w:rsidRDefault="0005403A" w:rsidP="007C2077">
      <w:pPr>
        <w:autoSpaceDE w:val="0"/>
        <w:autoSpaceDN w:val="0"/>
        <w:adjustRightInd w:val="0"/>
        <w:spacing w:line="360" w:lineRule="auto"/>
        <w:jc w:val="both"/>
        <w:rPr>
          <w:rFonts w:ascii="Times New Roman" w:eastAsia="MS Mincho" w:hAnsi="Times New Roman" w:cs="Times New Roman"/>
        </w:rPr>
      </w:pPr>
    </w:p>
    <w:p w14:paraId="6E6F541F" w14:textId="77777777" w:rsidR="007A0ADA" w:rsidRPr="00B25602" w:rsidRDefault="007C2077" w:rsidP="007A0ADA">
      <w:pPr>
        <w:autoSpaceDE w:val="0"/>
        <w:autoSpaceDN w:val="0"/>
        <w:adjustRightInd w:val="0"/>
        <w:jc w:val="center"/>
        <w:rPr>
          <w:rFonts w:ascii="Times New Roman" w:eastAsia="Times New Roman" w:hAnsi="Times New Roman" w:cs="Times New Roman"/>
          <w:b/>
          <w:bCs/>
          <w:color w:val="323E4F" w:themeColor="text2" w:themeShade="BF"/>
          <w:sz w:val="22"/>
          <w:lang w:val="es-MX" w:eastAsia="es-MX"/>
        </w:rPr>
      </w:pPr>
      <w:r w:rsidRPr="00B25602">
        <w:rPr>
          <w:rFonts w:ascii="Times New Roman" w:eastAsia="MS Mincho" w:hAnsi="Times New Roman" w:cs="Times New Roman"/>
          <w:b/>
          <w:color w:val="323E4F" w:themeColor="text2" w:themeShade="BF"/>
        </w:rPr>
        <w:lastRenderedPageBreak/>
        <w:t xml:space="preserve">Tabla </w:t>
      </w:r>
      <w:r w:rsidR="007A0ADA" w:rsidRPr="00B25602">
        <w:rPr>
          <w:rFonts w:ascii="Times New Roman" w:eastAsia="MS Mincho" w:hAnsi="Times New Roman" w:cs="Times New Roman"/>
          <w:b/>
          <w:color w:val="323E4F" w:themeColor="text2" w:themeShade="BF"/>
        </w:rPr>
        <w:t xml:space="preserve">3. </w:t>
      </w:r>
      <w:r w:rsidR="007A0ADA" w:rsidRPr="00B25602">
        <w:rPr>
          <w:rFonts w:ascii="Times New Roman" w:eastAsia="Times New Roman" w:hAnsi="Times New Roman" w:cs="Times New Roman"/>
          <w:b/>
          <w:bCs/>
          <w:color w:val="323E4F" w:themeColor="text2" w:themeShade="BF"/>
          <w:sz w:val="22"/>
          <w:lang w:val="es-MX" w:eastAsia="es-MX"/>
        </w:rPr>
        <w:t xml:space="preserve">Distribución de proyectos de I+D financiados por FONDEF </w:t>
      </w:r>
    </w:p>
    <w:p w14:paraId="6711D45E" w14:textId="0CA9F02B" w:rsidR="007C2077" w:rsidRPr="00B25602" w:rsidRDefault="007A0ADA" w:rsidP="007A0ADA">
      <w:pPr>
        <w:autoSpaceDE w:val="0"/>
        <w:autoSpaceDN w:val="0"/>
        <w:adjustRightInd w:val="0"/>
        <w:jc w:val="center"/>
        <w:rPr>
          <w:rFonts w:ascii="Times New Roman" w:eastAsia="MS Mincho" w:hAnsi="Times New Roman" w:cs="Times New Roman"/>
          <w:b/>
          <w:color w:val="323E4F" w:themeColor="text2" w:themeShade="BF"/>
        </w:rPr>
      </w:pPr>
      <w:r w:rsidRPr="00B25602">
        <w:rPr>
          <w:rFonts w:ascii="Times New Roman" w:eastAsia="Times New Roman" w:hAnsi="Times New Roman" w:cs="Times New Roman"/>
          <w:b/>
          <w:bCs/>
          <w:color w:val="323E4F" w:themeColor="text2" w:themeShade="BF"/>
          <w:sz w:val="22"/>
          <w:lang w:val="es-MX" w:eastAsia="es-MX"/>
        </w:rPr>
        <w:t>(según los montos por área)</w:t>
      </w:r>
    </w:p>
    <w:tbl>
      <w:tblPr>
        <w:tblStyle w:val="Tablaconcuadrcula4-nfasis3"/>
        <w:tblpPr w:leftFromText="141" w:rightFromText="141" w:vertAnchor="text" w:horzAnchor="margin" w:tblpXSpec="center" w:tblpY="149"/>
        <w:tblW w:w="6149" w:type="dxa"/>
        <w:tblLook w:val="04A0" w:firstRow="1" w:lastRow="0" w:firstColumn="1" w:lastColumn="0" w:noHBand="0" w:noVBand="1"/>
      </w:tblPr>
      <w:tblGrid>
        <w:gridCol w:w="2715"/>
        <w:gridCol w:w="1717"/>
        <w:gridCol w:w="1717"/>
      </w:tblGrid>
      <w:tr w:rsidR="00927F81" w:rsidRPr="007C2077" w14:paraId="3AAE543C" w14:textId="77777777" w:rsidTr="00927F81">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15" w:type="dxa"/>
            <w:noWrap/>
            <w:hideMark/>
          </w:tcPr>
          <w:p w14:paraId="3C8D9EC0" w14:textId="77777777" w:rsidR="007A0ADA" w:rsidRPr="00927F81" w:rsidRDefault="007A0ADA" w:rsidP="007A0ADA">
            <w:pPr>
              <w:spacing w:line="360" w:lineRule="auto"/>
              <w:jc w:val="center"/>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Área</w:t>
            </w:r>
          </w:p>
        </w:tc>
        <w:tc>
          <w:tcPr>
            <w:tcW w:w="1717" w:type="dxa"/>
            <w:noWrap/>
            <w:hideMark/>
          </w:tcPr>
          <w:p w14:paraId="200FEF1D" w14:textId="77777777" w:rsidR="007A0ADA" w:rsidRPr="00927F81" w:rsidRDefault="007A0ADA" w:rsidP="007A0AD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Cs w:val="28"/>
                <w:lang w:val="es-MX" w:eastAsia="es-MX"/>
              </w:rPr>
            </w:pPr>
            <w:r w:rsidRPr="00927F81">
              <w:rPr>
                <w:rFonts w:ascii="Times New Roman" w:eastAsia="Times New Roman" w:hAnsi="Times New Roman" w:cs="Times New Roman"/>
                <w:b w:val="0"/>
                <w:bCs w:val="0"/>
                <w:szCs w:val="28"/>
                <w:lang w:val="es-MX" w:eastAsia="es-MX"/>
              </w:rPr>
              <w:t>2005</w:t>
            </w:r>
          </w:p>
        </w:tc>
        <w:tc>
          <w:tcPr>
            <w:tcW w:w="1717" w:type="dxa"/>
            <w:noWrap/>
            <w:hideMark/>
          </w:tcPr>
          <w:p w14:paraId="1E54EA54" w14:textId="77777777" w:rsidR="007A0ADA" w:rsidRPr="00927F81" w:rsidRDefault="007A0ADA" w:rsidP="007A0AD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Cs w:val="28"/>
                <w:lang w:val="es-MX" w:eastAsia="es-MX"/>
              </w:rPr>
            </w:pPr>
            <w:r w:rsidRPr="00927F81">
              <w:rPr>
                <w:rFonts w:ascii="Times New Roman" w:eastAsia="Times New Roman" w:hAnsi="Times New Roman" w:cs="Times New Roman"/>
                <w:b w:val="0"/>
                <w:bCs w:val="0"/>
                <w:szCs w:val="28"/>
                <w:lang w:val="es-MX" w:eastAsia="es-MX"/>
              </w:rPr>
              <w:t>2009</w:t>
            </w:r>
          </w:p>
        </w:tc>
      </w:tr>
      <w:tr w:rsidR="00927F81" w:rsidRPr="007C2077" w14:paraId="511015A7" w14:textId="77777777" w:rsidTr="00927F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15" w:type="dxa"/>
            <w:hideMark/>
          </w:tcPr>
          <w:p w14:paraId="4CE252B8" w14:textId="77777777" w:rsidR="007A0ADA" w:rsidRPr="00927F81" w:rsidRDefault="007A0ADA" w:rsidP="007A0ADA">
            <w:pPr>
              <w:spacing w:line="360" w:lineRule="auto"/>
              <w:rPr>
                <w:rFonts w:ascii="Times New Roman" w:eastAsia="Times New Roman" w:hAnsi="Times New Roman" w:cs="Times New Roman"/>
                <w:b w:val="0"/>
                <w:bCs w:val="0"/>
                <w:szCs w:val="28"/>
                <w:lang w:val="es-MX" w:eastAsia="es-MX"/>
              </w:rPr>
            </w:pPr>
            <w:r w:rsidRPr="00927F81">
              <w:rPr>
                <w:rFonts w:ascii="Times New Roman" w:eastAsia="Times New Roman" w:hAnsi="Times New Roman" w:cs="Times New Roman"/>
                <w:b w:val="0"/>
                <w:bCs w:val="0"/>
                <w:szCs w:val="28"/>
                <w:lang w:val="es-MX" w:eastAsia="es-MX"/>
              </w:rPr>
              <w:t>Pesca y agricultura</w:t>
            </w:r>
          </w:p>
        </w:tc>
        <w:tc>
          <w:tcPr>
            <w:tcW w:w="1717" w:type="dxa"/>
            <w:noWrap/>
            <w:hideMark/>
          </w:tcPr>
          <w:p w14:paraId="218C3D47" w14:textId="77777777" w:rsidR="007A0ADA" w:rsidRPr="00927F81" w:rsidRDefault="007A0ADA" w:rsidP="007A0A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32</w:t>
            </w:r>
          </w:p>
        </w:tc>
        <w:tc>
          <w:tcPr>
            <w:tcW w:w="1717" w:type="dxa"/>
            <w:noWrap/>
            <w:hideMark/>
          </w:tcPr>
          <w:p w14:paraId="1C179DDE" w14:textId="77777777" w:rsidR="007A0ADA" w:rsidRPr="00927F81" w:rsidRDefault="007A0ADA" w:rsidP="007A0A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26</w:t>
            </w:r>
          </w:p>
        </w:tc>
      </w:tr>
      <w:tr w:rsidR="007A0ADA" w:rsidRPr="007C2077" w14:paraId="0B027CCD" w14:textId="77777777" w:rsidTr="00927F81">
        <w:trPr>
          <w:trHeight w:val="329"/>
        </w:trPr>
        <w:tc>
          <w:tcPr>
            <w:cnfStyle w:val="001000000000" w:firstRow="0" w:lastRow="0" w:firstColumn="1" w:lastColumn="0" w:oddVBand="0" w:evenVBand="0" w:oddHBand="0" w:evenHBand="0" w:firstRowFirstColumn="0" w:firstRowLastColumn="0" w:lastRowFirstColumn="0" w:lastRowLastColumn="0"/>
            <w:tcW w:w="2715" w:type="dxa"/>
            <w:hideMark/>
          </w:tcPr>
          <w:p w14:paraId="711B96DC" w14:textId="77777777" w:rsidR="007A0ADA" w:rsidRPr="00927F81" w:rsidRDefault="007A0ADA" w:rsidP="007A0ADA">
            <w:pPr>
              <w:spacing w:line="360" w:lineRule="auto"/>
              <w:rPr>
                <w:rFonts w:ascii="Times New Roman" w:eastAsia="Times New Roman" w:hAnsi="Times New Roman" w:cs="Times New Roman"/>
                <w:b w:val="0"/>
                <w:bCs w:val="0"/>
                <w:szCs w:val="28"/>
                <w:lang w:val="es-MX" w:eastAsia="es-MX"/>
              </w:rPr>
            </w:pPr>
            <w:r w:rsidRPr="00927F81">
              <w:rPr>
                <w:rFonts w:ascii="Times New Roman" w:eastAsia="Times New Roman" w:hAnsi="Times New Roman" w:cs="Times New Roman"/>
                <w:b w:val="0"/>
                <w:bCs w:val="0"/>
                <w:szCs w:val="28"/>
                <w:lang w:val="es-MX" w:eastAsia="es-MX"/>
              </w:rPr>
              <w:t>Salud</w:t>
            </w:r>
          </w:p>
        </w:tc>
        <w:tc>
          <w:tcPr>
            <w:tcW w:w="1717" w:type="dxa"/>
            <w:noWrap/>
            <w:hideMark/>
          </w:tcPr>
          <w:p w14:paraId="4A77650A" w14:textId="77777777" w:rsidR="007A0ADA" w:rsidRPr="00927F81" w:rsidRDefault="007A0ADA" w:rsidP="007A0A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15</w:t>
            </w:r>
          </w:p>
        </w:tc>
        <w:tc>
          <w:tcPr>
            <w:tcW w:w="1717" w:type="dxa"/>
            <w:noWrap/>
            <w:hideMark/>
          </w:tcPr>
          <w:p w14:paraId="616C18DB" w14:textId="77777777" w:rsidR="007A0ADA" w:rsidRPr="00927F81" w:rsidRDefault="007A0ADA" w:rsidP="007A0A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10</w:t>
            </w:r>
          </w:p>
        </w:tc>
      </w:tr>
      <w:tr w:rsidR="00927F81" w:rsidRPr="007C2077" w14:paraId="0A02B124" w14:textId="77777777" w:rsidTr="00927F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15" w:type="dxa"/>
            <w:hideMark/>
          </w:tcPr>
          <w:p w14:paraId="797A85E2" w14:textId="77777777" w:rsidR="007A0ADA" w:rsidRPr="00927F81" w:rsidRDefault="007A0ADA" w:rsidP="007A0ADA">
            <w:pPr>
              <w:spacing w:line="360" w:lineRule="auto"/>
              <w:rPr>
                <w:rFonts w:ascii="Times New Roman" w:eastAsia="Times New Roman" w:hAnsi="Times New Roman" w:cs="Times New Roman"/>
                <w:b w:val="0"/>
                <w:bCs w:val="0"/>
                <w:szCs w:val="28"/>
                <w:lang w:val="es-MX" w:eastAsia="es-MX"/>
              </w:rPr>
            </w:pPr>
            <w:r w:rsidRPr="00927F81">
              <w:rPr>
                <w:rFonts w:ascii="Times New Roman" w:eastAsia="Times New Roman" w:hAnsi="Times New Roman" w:cs="Times New Roman"/>
                <w:b w:val="0"/>
                <w:bCs w:val="0"/>
                <w:szCs w:val="28"/>
                <w:lang w:val="es-MX" w:eastAsia="es-MX"/>
              </w:rPr>
              <w:t>Energía y aguas</w:t>
            </w:r>
          </w:p>
        </w:tc>
        <w:tc>
          <w:tcPr>
            <w:tcW w:w="1717" w:type="dxa"/>
            <w:noWrap/>
            <w:hideMark/>
          </w:tcPr>
          <w:p w14:paraId="6C6F1EE4" w14:textId="77777777" w:rsidR="007A0ADA" w:rsidRPr="00927F81" w:rsidRDefault="007A0ADA" w:rsidP="007A0A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w:t>
            </w:r>
          </w:p>
        </w:tc>
        <w:tc>
          <w:tcPr>
            <w:tcW w:w="1717" w:type="dxa"/>
            <w:noWrap/>
            <w:hideMark/>
          </w:tcPr>
          <w:p w14:paraId="7E011154" w14:textId="77777777" w:rsidR="007A0ADA" w:rsidRPr="00927F81" w:rsidRDefault="007A0ADA" w:rsidP="007A0A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18</w:t>
            </w:r>
          </w:p>
        </w:tc>
      </w:tr>
      <w:tr w:rsidR="007A0ADA" w:rsidRPr="007C2077" w14:paraId="13D0CC9D" w14:textId="77777777" w:rsidTr="00927F81">
        <w:trPr>
          <w:trHeight w:val="329"/>
        </w:trPr>
        <w:tc>
          <w:tcPr>
            <w:cnfStyle w:val="001000000000" w:firstRow="0" w:lastRow="0" w:firstColumn="1" w:lastColumn="0" w:oddVBand="0" w:evenVBand="0" w:oddHBand="0" w:evenHBand="0" w:firstRowFirstColumn="0" w:firstRowLastColumn="0" w:lastRowFirstColumn="0" w:lastRowLastColumn="0"/>
            <w:tcW w:w="2715" w:type="dxa"/>
            <w:hideMark/>
          </w:tcPr>
          <w:p w14:paraId="24525BAA" w14:textId="77777777" w:rsidR="007A0ADA" w:rsidRPr="00927F81" w:rsidRDefault="007A0ADA" w:rsidP="007A0ADA">
            <w:pPr>
              <w:spacing w:line="360" w:lineRule="auto"/>
              <w:rPr>
                <w:rFonts w:ascii="Times New Roman" w:eastAsia="Times New Roman" w:hAnsi="Times New Roman" w:cs="Times New Roman"/>
                <w:b w:val="0"/>
                <w:bCs w:val="0"/>
                <w:szCs w:val="28"/>
                <w:lang w:val="es-MX" w:eastAsia="es-MX"/>
              </w:rPr>
            </w:pPr>
            <w:r w:rsidRPr="00927F81">
              <w:rPr>
                <w:rFonts w:ascii="Times New Roman" w:eastAsia="Times New Roman" w:hAnsi="Times New Roman" w:cs="Times New Roman"/>
                <w:b w:val="0"/>
                <w:bCs w:val="0"/>
                <w:szCs w:val="28"/>
                <w:lang w:val="es-MX" w:eastAsia="es-MX"/>
              </w:rPr>
              <w:t>Manufactura</w:t>
            </w:r>
          </w:p>
        </w:tc>
        <w:tc>
          <w:tcPr>
            <w:tcW w:w="1717" w:type="dxa"/>
            <w:noWrap/>
            <w:hideMark/>
          </w:tcPr>
          <w:p w14:paraId="06935B55" w14:textId="77777777" w:rsidR="007A0ADA" w:rsidRPr="00927F81" w:rsidRDefault="007A0ADA" w:rsidP="007A0A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14</w:t>
            </w:r>
          </w:p>
        </w:tc>
        <w:tc>
          <w:tcPr>
            <w:tcW w:w="1717" w:type="dxa"/>
            <w:noWrap/>
            <w:hideMark/>
          </w:tcPr>
          <w:p w14:paraId="5E2385CC" w14:textId="77777777" w:rsidR="007A0ADA" w:rsidRPr="00927F81" w:rsidRDefault="007A0ADA" w:rsidP="007A0A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5</w:t>
            </w:r>
          </w:p>
        </w:tc>
      </w:tr>
      <w:tr w:rsidR="00927F81" w:rsidRPr="007C2077" w14:paraId="12F42A35" w14:textId="77777777" w:rsidTr="00927F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15" w:type="dxa"/>
            <w:hideMark/>
          </w:tcPr>
          <w:p w14:paraId="4C464CEB" w14:textId="77777777" w:rsidR="007A0ADA" w:rsidRPr="00927F81" w:rsidRDefault="007A0ADA" w:rsidP="007A0ADA">
            <w:pPr>
              <w:spacing w:line="360" w:lineRule="auto"/>
              <w:rPr>
                <w:rFonts w:ascii="Times New Roman" w:eastAsia="Times New Roman" w:hAnsi="Times New Roman" w:cs="Times New Roman"/>
                <w:b w:val="0"/>
                <w:bCs w:val="0"/>
                <w:szCs w:val="28"/>
                <w:lang w:val="es-MX" w:eastAsia="es-MX"/>
              </w:rPr>
            </w:pPr>
            <w:r w:rsidRPr="00927F81">
              <w:rPr>
                <w:rFonts w:ascii="Times New Roman" w:eastAsia="Times New Roman" w:hAnsi="Times New Roman" w:cs="Times New Roman"/>
                <w:b w:val="0"/>
                <w:bCs w:val="0"/>
                <w:szCs w:val="28"/>
                <w:lang w:val="es-MX" w:eastAsia="es-MX"/>
              </w:rPr>
              <w:t>Agropecuaria</w:t>
            </w:r>
          </w:p>
        </w:tc>
        <w:tc>
          <w:tcPr>
            <w:tcW w:w="1717" w:type="dxa"/>
            <w:noWrap/>
            <w:hideMark/>
          </w:tcPr>
          <w:p w14:paraId="4001C1D1" w14:textId="77777777" w:rsidR="007A0ADA" w:rsidRPr="00927F81" w:rsidRDefault="007A0ADA" w:rsidP="007A0A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10</w:t>
            </w:r>
          </w:p>
        </w:tc>
        <w:tc>
          <w:tcPr>
            <w:tcW w:w="1717" w:type="dxa"/>
            <w:noWrap/>
            <w:hideMark/>
          </w:tcPr>
          <w:p w14:paraId="1E753EBA" w14:textId="77777777" w:rsidR="007A0ADA" w:rsidRPr="00927F81" w:rsidRDefault="007A0ADA" w:rsidP="007A0A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16</w:t>
            </w:r>
          </w:p>
        </w:tc>
      </w:tr>
      <w:tr w:rsidR="007A0ADA" w:rsidRPr="007C2077" w14:paraId="05113D13" w14:textId="77777777" w:rsidTr="00927F81">
        <w:trPr>
          <w:trHeight w:val="329"/>
        </w:trPr>
        <w:tc>
          <w:tcPr>
            <w:cnfStyle w:val="001000000000" w:firstRow="0" w:lastRow="0" w:firstColumn="1" w:lastColumn="0" w:oddVBand="0" w:evenVBand="0" w:oddHBand="0" w:evenHBand="0" w:firstRowFirstColumn="0" w:firstRowLastColumn="0" w:lastRowFirstColumn="0" w:lastRowLastColumn="0"/>
            <w:tcW w:w="2715" w:type="dxa"/>
            <w:hideMark/>
          </w:tcPr>
          <w:p w14:paraId="3C03F56B" w14:textId="77777777" w:rsidR="007A0ADA" w:rsidRPr="00927F81" w:rsidRDefault="007A0ADA" w:rsidP="007A0ADA">
            <w:pPr>
              <w:spacing w:line="360" w:lineRule="auto"/>
              <w:rPr>
                <w:rFonts w:ascii="Times New Roman" w:eastAsia="Times New Roman" w:hAnsi="Times New Roman" w:cs="Times New Roman"/>
                <w:b w:val="0"/>
                <w:bCs w:val="0"/>
                <w:szCs w:val="28"/>
                <w:lang w:val="es-MX" w:eastAsia="es-MX"/>
              </w:rPr>
            </w:pPr>
            <w:r w:rsidRPr="00927F81">
              <w:rPr>
                <w:rFonts w:ascii="Times New Roman" w:eastAsia="Times New Roman" w:hAnsi="Times New Roman" w:cs="Times New Roman"/>
                <w:b w:val="0"/>
                <w:bCs w:val="0"/>
                <w:szCs w:val="28"/>
                <w:lang w:val="es-MX" w:eastAsia="es-MX"/>
              </w:rPr>
              <w:t>Forestal</w:t>
            </w:r>
          </w:p>
        </w:tc>
        <w:tc>
          <w:tcPr>
            <w:tcW w:w="1717" w:type="dxa"/>
            <w:noWrap/>
            <w:hideMark/>
          </w:tcPr>
          <w:p w14:paraId="7EEACC41" w14:textId="77777777" w:rsidR="007A0ADA" w:rsidRPr="00927F81" w:rsidRDefault="007A0ADA" w:rsidP="007A0A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6</w:t>
            </w:r>
          </w:p>
        </w:tc>
        <w:tc>
          <w:tcPr>
            <w:tcW w:w="1717" w:type="dxa"/>
            <w:noWrap/>
            <w:hideMark/>
          </w:tcPr>
          <w:p w14:paraId="10AAD745" w14:textId="77777777" w:rsidR="007A0ADA" w:rsidRPr="00927F81" w:rsidRDefault="007A0ADA" w:rsidP="007A0A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4</w:t>
            </w:r>
          </w:p>
        </w:tc>
      </w:tr>
      <w:tr w:rsidR="00927F81" w:rsidRPr="007C2077" w14:paraId="49971795" w14:textId="77777777" w:rsidTr="00927F8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15" w:type="dxa"/>
            <w:hideMark/>
          </w:tcPr>
          <w:p w14:paraId="0160AE90" w14:textId="77777777" w:rsidR="007A0ADA" w:rsidRPr="00927F81" w:rsidRDefault="007A0ADA" w:rsidP="007A0ADA">
            <w:pPr>
              <w:spacing w:line="360" w:lineRule="auto"/>
              <w:rPr>
                <w:rFonts w:ascii="Times New Roman" w:eastAsia="Times New Roman" w:hAnsi="Times New Roman" w:cs="Times New Roman"/>
                <w:b w:val="0"/>
                <w:bCs w:val="0"/>
                <w:szCs w:val="28"/>
                <w:lang w:val="es-MX" w:eastAsia="es-MX"/>
              </w:rPr>
            </w:pPr>
            <w:r w:rsidRPr="00927F81">
              <w:rPr>
                <w:rFonts w:ascii="Times New Roman" w:eastAsia="Times New Roman" w:hAnsi="Times New Roman" w:cs="Times New Roman"/>
                <w:b w:val="0"/>
                <w:bCs w:val="0"/>
                <w:szCs w:val="28"/>
                <w:lang w:val="es-MX" w:eastAsia="es-MX"/>
              </w:rPr>
              <w:t>TI y Comunicación</w:t>
            </w:r>
          </w:p>
        </w:tc>
        <w:tc>
          <w:tcPr>
            <w:tcW w:w="1717" w:type="dxa"/>
            <w:noWrap/>
            <w:hideMark/>
          </w:tcPr>
          <w:p w14:paraId="751587AD" w14:textId="77777777" w:rsidR="007A0ADA" w:rsidRPr="00927F81" w:rsidRDefault="007A0ADA" w:rsidP="007A0A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12</w:t>
            </w:r>
          </w:p>
        </w:tc>
        <w:tc>
          <w:tcPr>
            <w:tcW w:w="1717" w:type="dxa"/>
            <w:noWrap/>
            <w:hideMark/>
          </w:tcPr>
          <w:p w14:paraId="5602EEFC" w14:textId="77777777" w:rsidR="007A0ADA" w:rsidRPr="00927F81" w:rsidRDefault="007A0ADA" w:rsidP="007A0A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10</w:t>
            </w:r>
          </w:p>
        </w:tc>
      </w:tr>
      <w:tr w:rsidR="007A0ADA" w:rsidRPr="007C2077" w14:paraId="5687142F" w14:textId="77777777" w:rsidTr="00927F81">
        <w:trPr>
          <w:trHeight w:val="329"/>
        </w:trPr>
        <w:tc>
          <w:tcPr>
            <w:cnfStyle w:val="001000000000" w:firstRow="0" w:lastRow="0" w:firstColumn="1" w:lastColumn="0" w:oddVBand="0" w:evenVBand="0" w:oddHBand="0" w:evenHBand="0" w:firstRowFirstColumn="0" w:firstRowLastColumn="0" w:lastRowFirstColumn="0" w:lastRowLastColumn="0"/>
            <w:tcW w:w="2715" w:type="dxa"/>
            <w:hideMark/>
          </w:tcPr>
          <w:p w14:paraId="44708765" w14:textId="77777777" w:rsidR="007A0ADA" w:rsidRPr="00927F81" w:rsidRDefault="007A0ADA" w:rsidP="007A0ADA">
            <w:pPr>
              <w:spacing w:line="360" w:lineRule="auto"/>
              <w:rPr>
                <w:rFonts w:ascii="Times New Roman" w:eastAsia="Times New Roman" w:hAnsi="Times New Roman" w:cs="Times New Roman"/>
                <w:b w:val="0"/>
                <w:bCs w:val="0"/>
                <w:szCs w:val="28"/>
                <w:lang w:val="es-MX" w:eastAsia="es-MX"/>
              </w:rPr>
            </w:pPr>
            <w:r w:rsidRPr="00927F81">
              <w:rPr>
                <w:rFonts w:ascii="Times New Roman" w:eastAsia="Times New Roman" w:hAnsi="Times New Roman" w:cs="Times New Roman"/>
                <w:b w:val="0"/>
                <w:bCs w:val="0"/>
                <w:szCs w:val="28"/>
                <w:lang w:val="es-MX" w:eastAsia="es-MX"/>
              </w:rPr>
              <w:t>Minería</w:t>
            </w:r>
          </w:p>
        </w:tc>
        <w:tc>
          <w:tcPr>
            <w:tcW w:w="1717" w:type="dxa"/>
            <w:noWrap/>
            <w:hideMark/>
          </w:tcPr>
          <w:p w14:paraId="2C07067C" w14:textId="77777777" w:rsidR="007A0ADA" w:rsidRPr="00927F81" w:rsidRDefault="007A0ADA" w:rsidP="007A0A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8</w:t>
            </w:r>
          </w:p>
        </w:tc>
        <w:tc>
          <w:tcPr>
            <w:tcW w:w="1717" w:type="dxa"/>
            <w:noWrap/>
            <w:hideMark/>
          </w:tcPr>
          <w:p w14:paraId="24907FE4" w14:textId="77777777" w:rsidR="007A0ADA" w:rsidRPr="00927F81" w:rsidRDefault="007A0ADA" w:rsidP="007A0A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w:t>
            </w:r>
          </w:p>
        </w:tc>
      </w:tr>
      <w:tr w:rsidR="00927F81" w:rsidRPr="007C2077" w14:paraId="3D26C25D" w14:textId="77777777" w:rsidTr="00927F8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715" w:type="dxa"/>
            <w:hideMark/>
          </w:tcPr>
          <w:p w14:paraId="171E3E6C" w14:textId="77777777" w:rsidR="007A0ADA" w:rsidRPr="00927F81" w:rsidRDefault="007A0ADA" w:rsidP="007A0ADA">
            <w:pPr>
              <w:spacing w:line="360" w:lineRule="auto"/>
              <w:rPr>
                <w:rFonts w:ascii="Times New Roman" w:eastAsia="Times New Roman" w:hAnsi="Times New Roman" w:cs="Times New Roman"/>
                <w:b w:val="0"/>
                <w:bCs w:val="0"/>
                <w:szCs w:val="28"/>
                <w:lang w:val="es-MX" w:eastAsia="es-MX"/>
              </w:rPr>
            </w:pPr>
            <w:r w:rsidRPr="00927F81">
              <w:rPr>
                <w:rFonts w:ascii="Times New Roman" w:eastAsia="Times New Roman" w:hAnsi="Times New Roman" w:cs="Times New Roman"/>
                <w:b w:val="0"/>
                <w:bCs w:val="0"/>
                <w:szCs w:val="28"/>
                <w:lang w:val="es-MX" w:eastAsia="es-MX"/>
              </w:rPr>
              <w:t>Educación</w:t>
            </w:r>
          </w:p>
        </w:tc>
        <w:tc>
          <w:tcPr>
            <w:tcW w:w="1717" w:type="dxa"/>
            <w:noWrap/>
            <w:hideMark/>
          </w:tcPr>
          <w:p w14:paraId="7E4D658F" w14:textId="77777777" w:rsidR="007A0ADA" w:rsidRPr="00927F81" w:rsidRDefault="007A0ADA" w:rsidP="007A0A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3</w:t>
            </w:r>
          </w:p>
        </w:tc>
        <w:tc>
          <w:tcPr>
            <w:tcW w:w="1717" w:type="dxa"/>
            <w:noWrap/>
            <w:hideMark/>
          </w:tcPr>
          <w:p w14:paraId="7A3E2538" w14:textId="77777777" w:rsidR="007A0ADA" w:rsidRPr="00927F81" w:rsidRDefault="007A0ADA" w:rsidP="007A0A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8"/>
                <w:lang w:val="es-MX" w:eastAsia="es-MX"/>
              </w:rPr>
            </w:pPr>
            <w:r w:rsidRPr="00927F81">
              <w:rPr>
                <w:rFonts w:ascii="Times New Roman" w:eastAsia="Times New Roman" w:hAnsi="Times New Roman" w:cs="Times New Roman"/>
                <w:szCs w:val="28"/>
                <w:lang w:val="es-MX" w:eastAsia="es-MX"/>
              </w:rPr>
              <w:t>11</w:t>
            </w:r>
          </w:p>
        </w:tc>
      </w:tr>
    </w:tbl>
    <w:p w14:paraId="320D09F1" w14:textId="77777777" w:rsidR="007C2077" w:rsidRPr="007C2077" w:rsidRDefault="007C2077" w:rsidP="007C2077">
      <w:pPr>
        <w:autoSpaceDE w:val="0"/>
        <w:autoSpaceDN w:val="0"/>
        <w:adjustRightInd w:val="0"/>
        <w:spacing w:line="360" w:lineRule="auto"/>
        <w:jc w:val="both"/>
        <w:rPr>
          <w:rFonts w:ascii="Times New Roman" w:eastAsia="MS Mincho" w:hAnsi="Times New Roman" w:cs="Times New Roman"/>
          <w:b/>
        </w:rPr>
      </w:pPr>
    </w:p>
    <w:p w14:paraId="37EAED5A" w14:textId="12FB4EB7" w:rsidR="007A0ADA" w:rsidRDefault="007A0ADA" w:rsidP="007C2077">
      <w:pPr>
        <w:autoSpaceDE w:val="0"/>
        <w:autoSpaceDN w:val="0"/>
        <w:adjustRightInd w:val="0"/>
        <w:spacing w:line="360" w:lineRule="auto"/>
        <w:jc w:val="both"/>
        <w:rPr>
          <w:rFonts w:ascii="Times New Roman" w:eastAsia="Times New Roman" w:hAnsi="Times New Roman" w:cs="Times New Roman"/>
          <w:b/>
          <w:sz w:val="16"/>
          <w:szCs w:val="16"/>
          <w:lang w:val="es-MX" w:eastAsia="es-MX"/>
        </w:rPr>
      </w:pPr>
    </w:p>
    <w:p w14:paraId="4E078FA8" w14:textId="131EFD52" w:rsidR="007A0ADA" w:rsidRDefault="007A0ADA" w:rsidP="007C2077">
      <w:pPr>
        <w:autoSpaceDE w:val="0"/>
        <w:autoSpaceDN w:val="0"/>
        <w:adjustRightInd w:val="0"/>
        <w:spacing w:line="360" w:lineRule="auto"/>
        <w:jc w:val="both"/>
        <w:rPr>
          <w:rFonts w:ascii="Times New Roman" w:eastAsia="Times New Roman" w:hAnsi="Times New Roman" w:cs="Times New Roman"/>
          <w:b/>
          <w:sz w:val="16"/>
          <w:szCs w:val="16"/>
          <w:lang w:val="es-MX" w:eastAsia="es-MX"/>
        </w:rPr>
      </w:pPr>
    </w:p>
    <w:p w14:paraId="26E8EBBD" w14:textId="50A866EF" w:rsidR="007A0ADA" w:rsidRDefault="007A0ADA" w:rsidP="007C2077">
      <w:pPr>
        <w:autoSpaceDE w:val="0"/>
        <w:autoSpaceDN w:val="0"/>
        <w:adjustRightInd w:val="0"/>
        <w:spacing w:line="360" w:lineRule="auto"/>
        <w:jc w:val="both"/>
        <w:rPr>
          <w:rFonts w:ascii="Times New Roman" w:eastAsia="Times New Roman" w:hAnsi="Times New Roman" w:cs="Times New Roman"/>
          <w:b/>
          <w:sz w:val="16"/>
          <w:szCs w:val="16"/>
          <w:lang w:val="es-MX" w:eastAsia="es-MX"/>
        </w:rPr>
      </w:pPr>
    </w:p>
    <w:p w14:paraId="6781BE48" w14:textId="776DB9BA" w:rsidR="007A0ADA" w:rsidRDefault="007A0ADA" w:rsidP="007C2077">
      <w:pPr>
        <w:autoSpaceDE w:val="0"/>
        <w:autoSpaceDN w:val="0"/>
        <w:adjustRightInd w:val="0"/>
        <w:spacing w:line="360" w:lineRule="auto"/>
        <w:jc w:val="both"/>
        <w:rPr>
          <w:rFonts w:ascii="Times New Roman" w:eastAsia="Times New Roman" w:hAnsi="Times New Roman" w:cs="Times New Roman"/>
          <w:b/>
          <w:sz w:val="16"/>
          <w:szCs w:val="16"/>
          <w:lang w:val="es-MX" w:eastAsia="es-MX"/>
        </w:rPr>
      </w:pPr>
    </w:p>
    <w:p w14:paraId="477B1226" w14:textId="57742620" w:rsidR="007A0ADA" w:rsidRDefault="007A0ADA" w:rsidP="007C2077">
      <w:pPr>
        <w:autoSpaceDE w:val="0"/>
        <w:autoSpaceDN w:val="0"/>
        <w:adjustRightInd w:val="0"/>
        <w:spacing w:line="360" w:lineRule="auto"/>
        <w:jc w:val="both"/>
        <w:rPr>
          <w:rFonts w:ascii="Times New Roman" w:eastAsia="Times New Roman" w:hAnsi="Times New Roman" w:cs="Times New Roman"/>
          <w:b/>
          <w:sz w:val="16"/>
          <w:szCs w:val="16"/>
          <w:lang w:val="es-MX" w:eastAsia="es-MX"/>
        </w:rPr>
      </w:pPr>
    </w:p>
    <w:p w14:paraId="1DE7902A" w14:textId="57925C5F" w:rsidR="007A0ADA" w:rsidRDefault="007A0ADA" w:rsidP="007C2077">
      <w:pPr>
        <w:autoSpaceDE w:val="0"/>
        <w:autoSpaceDN w:val="0"/>
        <w:adjustRightInd w:val="0"/>
        <w:spacing w:line="360" w:lineRule="auto"/>
        <w:jc w:val="both"/>
        <w:rPr>
          <w:rFonts w:ascii="Times New Roman" w:eastAsia="Times New Roman" w:hAnsi="Times New Roman" w:cs="Times New Roman"/>
          <w:b/>
          <w:sz w:val="16"/>
          <w:szCs w:val="16"/>
          <w:lang w:val="es-MX" w:eastAsia="es-MX"/>
        </w:rPr>
      </w:pPr>
    </w:p>
    <w:p w14:paraId="24EE7C6F" w14:textId="6C287295" w:rsidR="007A0ADA" w:rsidRDefault="007A0ADA" w:rsidP="007C2077">
      <w:pPr>
        <w:autoSpaceDE w:val="0"/>
        <w:autoSpaceDN w:val="0"/>
        <w:adjustRightInd w:val="0"/>
        <w:spacing w:line="360" w:lineRule="auto"/>
        <w:jc w:val="both"/>
        <w:rPr>
          <w:rFonts w:ascii="Times New Roman" w:eastAsia="Times New Roman" w:hAnsi="Times New Roman" w:cs="Times New Roman"/>
          <w:b/>
          <w:sz w:val="16"/>
          <w:szCs w:val="16"/>
          <w:lang w:val="es-MX" w:eastAsia="es-MX"/>
        </w:rPr>
      </w:pPr>
    </w:p>
    <w:p w14:paraId="66C0AA2C" w14:textId="084D577E" w:rsidR="007A0ADA" w:rsidRDefault="007A0ADA" w:rsidP="007C2077">
      <w:pPr>
        <w:autoSpaceDE w:val="0"/>
        <w:autoSpaceDN w:val="0"/>
        <w:adjustRightInd w:val="0"/>
        <w:spacing w:line="360" w:lineRule="auto"/>
        <w:jc w:val="both"/>
        <w:rPr>
          <w:rFonts w:ascii="Times New Roman" w:eastAsia="Times New Roman" w:hAnsi="Times New Roman" w:cs="Times New Roman"/>
          <w:b/>
          <w:sz w:val="16"/>
          <w:szCs w:val="16"/>
          <w:lang w:val="es-MX" w:eastAsia="es-MX"/>
        </w:rPr>
      </w:pPr>
    </w:p>
    <w:p w14:paraId="1A2239C5" w14:textId="2E0EE880" w:rsidR="007A0ADA" w:rsidRDefault="007A0ADA" w:rsidP="007C2077">
      <w:pPr>
        <w:autoSpaceDE w:val="0"/>
        <w:autoSpaceDN w:val="0"/>
        <w:adjustRightInd w:val="0"/>
        <w:spacing w:line="360" w:lineRule="auto"/>
        <w:jc w:val="both"/>
        <w:rPr>
          <w:rFonts w:ascii="Times New Roman" w:eastAsia="Times New Roman" w:hAnsi="Times New Roman" w:cs="Times New Roman"/>
          <w:b/>
          <w:sz w:val="16"/>
          <w:szCs w:val="16"/>
          <w:lang w:val="es-MX" w:eastAsia="es-MX"/>
        </w:rPr>
      </w:pPr>
    </w:p>
    <w:p w14:paraId="0CFA373E" w14:textId="7625F699" w:rsidR="007A0ADA" w:rsidRDefault="007A0ADA" w:rsidP="007C2077">
      <w:pPr>
        <w:autoSpaceDE w:val="0"/>
        <w:autoSpaceDN w:val="0"/>
        <w:adjustRightInd w:val="0"/>
        <w:spacing w:line="360" w:lineRule="auto"/>
        <w:jc w:val="both"/>
        <w:rPr>
          <w:rFonts w:ascii="Times New Roman" w:eastAsia="Times New Roman" w:hAnsi="Times New Roman" w:cs="Times New Roman"/>
          <w:b/>
          <w:sz w:val="16"/>
          <w:szCs w:val="16"/>
          <w:lang w:val="es-MX" w:eastAsia="es-MX"/>
        </w:rPr>
      </w:pPr>
    </w:p>
    <w:p w14:paraId="29724AD0" w14:textId="20ACD186" w:rsidR="007A0ADA" w:rsidRDefault="007A0ADA" w:rsidP="007C2077">
      <w:pPr>
        <w:autoSpaceDE w:val="0"/>
        <w:autoSpaceDN w:val="0"/>
        <w:adjustRightInd w:val="0"/>
        <w:spacing w:line="360" w:lineRule="auto"/>
        <w:jc w:val="both"/>
        <w:rPr>
          <w:rFonts w:ascii="Times New Roman" w:eastAsia="Times New Roman" w:hAnsi="Times New Roman" w:cs="Times New Roman"/>
          <w:b/>
          <w:sz w:val="16"/>
          <w:szCs w:val="16"/>
          <w:lang w:val="es-MX" w:eastAsia="es-MX"/>
        </w:rPr>
      </w:pPr>
    </w:p>
    <w:p w14:paraId="20EED1DB" w14:textId="04F57FAD" w:rsidR="007A0ADA" w:rsidRDefault="007A0ADA" w:rsidP="007C2077">
      <w:pPr>
        <w:autoSpaceDE w:val="0"/>
        <w:autoSpaceDN w:val="0"/>
        <w:adjustRightInd w:val="0"/>
        <w:spacing w:line="360" w:lineRule="auto"/>
        <w:jc w:val="both"/>
        <w:rPr>
          <w:rFonts w:ascii="Times New Roman" w:eastAsia="Times New Roman" w:hAnsi="Times New Roman" w:cs="Times New Roman"/>
          <w:b/>
          <w:sz w:val="16"/>
          <w:szCs w:val="16"/>
          <w:lang w:val="es-MX" w:eastAsia="es-MX"/>
        </w:rPr>
      </w:pPr>
    </w:p>
    <w:p w14:paraId="592FBD67" w14:textId="1782030B" w:rsidR="007A0ADA" w:rsidRDefault="007A0ADA" w:rsidP="007C2077">
      <w:pPr>
        <w:autoSpaceDE w:val="0"/>
        <w:autoSpaceDN w:val="0"/>
        <w:adjustRightInd w:val="0"/>
        <w:spacing w:line="360" w:lineRule="auto"/>
        <w:jc w:val="both"/>
        <w:rPr>
          <w:rFonts w:ascii="Times New Roman" w:eastAsia="Times New Roman" w:hAnsi="Times New Roman" w:cs="Times New Roman"/>
          <w:b/>
          <w:sz w:val="16"/>
          <w:szCs w:val="16"/>
          <w:lang w:val="es-MX" w:eastAsia="es-MX"/>
        </w:rPr>
      </w:pPr>
    </w:p>
    <w:p w14:paraId="69C8EDC4" w14:textId="77777777" w:rsidR="00927F81" w:rsidRDefault="007A0ADA" w:rsidP="007A0ADA">
      <w:pPr>
        <w:autoSpaceDE w:val="0"/>
        <w:autoSpaceDN w:val="0"/>
        <w:adjustRightInd w:val="0"/>
        <w:spacing w:line="360" w:lineRule="auto"/>
        <w:ind w:left="1416"/>
        <w:jc w:val="both"/>
        <w:rPr>
          <w:rFonts w:ascii="Times New Roman" w:eastAsia="Times New Roman" w:hAnsi="Times New Roman" w:cs="Times New Roman"/>
          <w:b/>
          <w:sz w:val="16"/>
          <w:szCs w:val="16"/>
          <w:lang w:val="es-MX" w:eastAsia="es-MX"/>
        </w:rPr>
      </w:pPr>
      <w:r>
        <w:rPr>
          <w:rFonts w:ascii="Times New Roman" w:eastAsia="Times New Roman" w:hAnsi="Times New Roman" w:cs="Times New Roman"/>
          <w:b/>
          <w:sz w:val="16"/>
          <w:szCs w:val="16"/>
          <w:lang w:val="es-MX" w:eastAsia="es-MX"/>
        </w:rPr>
        <w:t xml:space="preserve">           </w:t>
      </w:r>
    </w:p>
    <w:p w14:paraId="6B681A32" w14:textId="77777777" w:rsidR="00927F81" w:rsidRDefault="00927F81" w:rsidP="00927F81">
      <w:pPr>
        <w:autoSpaceDE w:val="0"/>
        <w:autoSpaceDN w:val="0"/>
        <w:adjustRightInd w:val="0"/>
        <w:spacing w:line="360" w:lineRule="auto"/>
        <w:ind w:left="1416"/>
        <w:jc w:val="both"/>
        <w:rPr>
          <w:rFonts w:ascii="Times New Roman" w:eastAsia="Times New Roman" w:hAnsi="Times New Roman" w:cs="Times New Roman"/>
          <w:b/>
          <w:sz w:val="16"/>
          <w:szCs w:val="16"/>
          <w:lang w:val="es-MX" w:eastAsia="es-MX"/>
        </w:rPr>
      </w:pPr>
      <w:r>
        <w:rPr>
          <w:rFonts w:ascii="Times New Roman" w:eastAsia="Times New Roman" w:hAnsi="Times New Roman" w:cs="Times New Roman"/>
          <w:b/>
          <w:sz w:val="16"/>
          <w:szCs w:val="16"/>
          <w:lang w:val="es-MX" w:eastAsia="es-MX"/>
        </w:rPr>
        <w:t xml:space="preserve">              </w:t>
      </w:r>
    </w:p>
    <w:p w14:paraId="7A8F3C1F" w14:textId="6D157C99" w:rsidR="007C2077" w:rsidRPr="007C2077" w:rsidRDefault="00927F81" w:rsidP="00927F81">
      <w:pPr>
        <w:autoSpaceDE w:val="0"/>
        <w:autoSpaceDN w:val="0"/>
        <w:adjustRightInd w:val="0"/>
        <w:spacing w:line="360" w:lineRule="auto"/>
        <w:ind w:left="1416"/>
        <w:jc w:val="both"/>
        <w:rPr>
          <w:rFonts w:ascii="Times New Roman" w:eastAsia="MS Mincho" w:hAnsi="Times New Roman" w:cs="Times New Roman"/>
        </w:rPr>
      </w:pPr>
      <w:r>
        <w:rPr>
          <w:rFonts w:ascii="Times New Roman" w:eastAsia="Times New Roman" w:hAnsi="Times New Roman" w:cs="Times New Roman"/>
          <w:b/>
          <w:sz w:val="16"/>
          <w:szCs w:val="16"/>
          <w:lang w:val="es-MX" w:eastAsia="es-MX"/>
        </w:rPr>
        <w:t xml:space="preserve">            </w:t>
      </w:r>
      <w:r w:rsidR="007A0ADA" w:rsidRPr="007C2077">
        <w:rPr>
          <w:rFonts w:ascii="Times New Roman" w:eastAsia="Times New Roman" w:hAnsi="Times New Roman" w:cs="Times New Roman"/>
          <w:b/>
          <w:sz w:val="16"/>
          <w:szCs w:val="16"/>
          <w:lang w:val="es-MX" w:eastAsia="es-MX"/>
        </w:rPr>
        <w:t>Fuente:</w:t>
      </w:r>
      <w:r w:rsidR="007A0ADA" w:rsidRPr="007C2077">
        <w:rPr>
          <w:rFonts w:ascii="Times New Roman" w:eastAsia="Times New Roman" w:hAnsi="Times New Roman" w:cs="Times New Roman"/>
          <w:sz w:val="16"/>
          <w:szCs w:val="16"/>
          <w:lang w:val="es-MX" w:eastAsia="es-MX"/>
        </w:rPr>
        <w:t xml:space="preserve"> Departamento de estudios y planificación Estratégica, CONICYT</w:t>
      </w:r>
    </w:p>
    <w:p w14:paraId="50D95C53" w14:textId="77777777" w:rsidR="00927F81" w:rsidRDefault="00927F81" w:rsidP="007C2077">
      <w:pPr>
        <w:autoSpaceDE w:val="0"/>
        <w:autoSpaceDN w:val="0"/>
        <w:adjustRightInd w:val="0"/>
        <w:spacing w:line="360" w:lineRule="auto"/>
        <w:jc w:val="both"/>
        <w:rPr>
          <w:rFonts w:ascii="Times New Roman" w:eastAsia="MS Mincho" w:hAnsi="Times New Roman" w:cs="Times New Roman"/>
        </w:rPr>
      </w:pPr>
    </w:p>
    <w:p w14:paraId="64026FF7" w14:textId="6C59ECAB" w:rsidR="007C2077" w:rsidRPr="007C2077" w:rsidRDefault="007C2077" w:rsidP="007C2077">
      <w:pPr>
        <w:autoSpaceDE w:val="0"/>
        <w:autoSpaceDN w:val="0"/>
        <w:adjustRightInd w:val="0"/>
        <w:spacing w:line="360" w:lineRule="auto"/>
        <w:jc w:val="both"/>
        <w:rPr>
          <w:rFonts w:ascii="Times New Roman" w:eastAsia="MS Mincho" w:hAnsi="Times New Roman" w:cs="Times New Roman"/>
        </w:rPr>
      </w:pPr>
      <w:r w:rsidRPr="007C2077">
        <w:rPr>
          <w:rFonts w:ascii="Times New Roman" w:eastAsia="MS Mincho" w:hAnsi="Times New Roman" w:cs="Times New Roman"/>
        </w:rPr>
        <w:t xml:space="preserve">El origen de este programa estuvo relacionado estrechamente con la baja asignación de recursos entre los sectoriales. Por lo anterior, el programa estimula la vinculación entre los distintos sectores con su organización administrativa. </w:t>
      </w:r>
    </w:p>
    <w:p w14:paraId="4C8E3690" w14:textId="77777777" w:rsidR="007C2077" w:rsidRPr="007C2077" w:rsidRDefault="007C2077" w:rsidP="007C2077">
      <w:pPr>
        <w:autoSpaceDE w:val="0"/>
        <w:autoSpaceDN w:val="0"/>
        <w:adjustRightInd w:val="0"/>
        <w:spacing w:line="360" w:lineRule="auto"/>
        <w:jc w:val="both"/>
        <w:rPr>
          <w:rFonts w:ascii="Times New Roman" w:eastAsia="MS Mincho" w:hAnsi="Times New Roman" w:cs="Times New Roman"/>
        </w:rPr>
      </w:pPr>
    </w:p>
    <w:p w14:paraId="06D0185E" w14:textId="77777777" w:rsidR="007C2077" w:rsidRPr="007C2077" w:rsidRDefault="007C2077" w:rsidP="007C2077">
      <w:pPr>
        <w:autoSpaceDE w:val="0"/>
        <w:autoSpaceDN w:val="0"/>
        <w:adjustRightInd w:val="0"/>
        <w:spacing w:line="360" w:lineRule="auto"/>
        <w:jc w:val="both"/>
        <w:rPr>
          <w:rFonts w:ascii="Times New Roman" w:eastAsia="MS Mincho" w:hAnsi="Times New Roman" w:cs="Times New Roman"/>
        </w:rPr>
      </w:pPr>
      <w:r w:rsidRPr="007C2077">
        <w:rPr>
          <w:rFonts w:ascii="Times New Roman" w:eastAsia="MS Mincho" w:hAnsi="Times New Roman" w:cs="Times New Roman"/>
        </w:rPr>
        <w:t>De acuerdo a un estudio de la OCDE (2006, p. 82), la estrategia y gasto en investigación, tecnología e innovación en Chile es la siguiente:</w:t>
      </w:r>
    </w:p>
    <w:p w14:paraId="784390C2" w14:textId="77777777" w:rsidR="007C2077" w:rsidRPr="007C2077" w:rsidRDefault="007C2077" w:rsidP="007C2077">
      <w:pPr>
        <w:autoSpaceDE w:val="0"/>
        <w:autoSpaceDN w:val="0"/>
        <w:adjustRightInd w:val="0"/>
        <w:spacing w:line="360" w:lineRule="auto"/>
        <w:jc w:val="both"/>
        <w:rPr>
          <w:rFonts w:ascii="Times New Roman" w:eastAsia="MS Mincho" w:hAnsi="Times New Roman" w:cs="Times New Roman"/>
        </w:rPr>
      </w:pPr>
    </w:p>
    <w:p w14:paraId="53154EAC" w14:textId="412DAEB0" w:rsidR="007C2077" w:rsidRDefault="007C2077" w:rsidP="007C2077">
      <w:pPr>
        <w:autoSpaceDE w:val="0"/>
        <w:autoSpaceDN w:val="0"/>
        <w:adjustRightInd w:val="0"/>
        <w:spacing w:line="360" w:lineRule="auto"/>
        <w:ind w:left="708" w:right="616"/>
        <w:contextualSpacing/>
        <w:jc w:val="both"/>
        <w:rPr>
          <w:rFonts w:ascii="Times New Roman" w:eastAsia="MS Mincho" w:hAnsi="Times New Roman" w:cs="Times New Roman"/>
          <w:i/>
          <w:iCs/>
          <w:sz w:val="20"/>
        </w:rPr>
      </w:pPr>
      <w:r w:rsidRPr="007C2077">
        <w:rPr>
          <w:rFonts w:ascii="Times New Roman" w:eastAsia="MS Mincho" w:hAnsi="Times New Roman" w:cs="Times New Roman"/>
          <w:i/>
          <w:iCs/>
          <w:sz w:val="20"/>
        </w:rPr>
        <w:t xml:space="preserve">“… puede justificar el financiamiento público de investigación básica sobre la base que puede haber pocas oportunidades para el uso comercial inmediato de estas innovaciones y que pueden tomar tiempo en dar frutos, pero también hay que preguntarse si no sería más rentable destinar más fondos a la investigación aplicada. Casi dos tercios del gasto público en I&amp;D en 2002-04 fue destinado a instituciones de educación superior y fondos relacionados, y vinculado al Ministerio de Educación.” </w:t>
      </w:r>
    </w:p>
    <w:p w14:paraId="10935F38" w14:textId="77777777" w:rsidR="0005403A" w:rsidRPr="007C2077" w:rsidRDefault="0005403A" w:rsidP="007C2077">
      <w:pPr>
        <w:autoSpaceDE w:val="0"/>
        <w:autoSpaceDN w:val="0"/>
        <w:adjustRightInd w:val="0"/>
        <w:spacing w:line="360" w:lineRule="auto"/>
        <w:ind w:left="708" w:right="616"/>
        <w:contextualSpacing/>
        <w:jc w:val="both"/>
        <w:rPr>
          <w:rFonts w:ascii="Times New Roman" w:eastAsia="MS Mincho" w:hAnsi="Times New Roman" w:cs="Times New Roman"/>
          <w:i/>
          <w:iCs/>
        </w:rPr>
      </w:pPr>
    </w:p>
    <w:p w14:paraId="048EB675" w14:textId="253C4B1D" w:rsidR="002F54E1" w:rsidRDefault="007C2077" w:rsidP="007C2077">
      <w:pPr>
        <w:autoSpaceDE w:val="0"/>
        <w:autoSpaceDN w:val="0"/>
        <w:adjustRightInd w:val="0"/>
        <w:spacing w:line="360" w:lineRule="auto"/>
        <w:jc w:val="both"/>
        <w:rPr>
          <w:rFonts w:ascii="Times New Roman" w:eastAsia="MS Mincho" w:hAnsi="Times New Roman" w:cs="Times New Roman"/>
          <w:iCs/>
        </w:rPr>
      </w:pPr>
      <w:r w:rsidRPr="007C2077">
        <w:rPr>
          <w:rFonts w:ascii="Times New Roman" w:eastAsia="MS Mincho" w:hAnsi="Times New Roman" w:cs="Times New Roman"/>
          <w:iCs/>
        </w:rPr>
        <w:t>En este sentido, el gobierno chileno plantea con el FONDEF una estrategia para expandir el apoyo a sectores más allá de la ciencia básica o investigación aplicada</w:t>
      </w:r>
      <w:r w:rsidRPr="007C2077">
        <w:rPr>
          <w:rFonts w:ascii="Times New Roman" w:eastAsia="MS Mincho" w:hAnsi="Times New Roman" w:cs="Times New Roman"/>
          <w:i/>
          <w:iCs/>
        </w:rPr>
        <w:t xml:space="preserve">, </w:t>
      </w:r>
      <w:r w:rsidRPr="007C2077">
        <w:rPr>
          <w:rFonts w:ascii="Times New Roman" w:eastAsia="MS Mincho" w:hAnsi="Times New Roman" w:cs="Times New Roman"/>
          <w:iCs/>
        </w:rPr>
        <w:t xml:space="preserve">principalmente entre los sectores de la </w:t>
      </w:r>
      <w:r w:rsidRPr="007C2077">
        <w:rPr>
          <w:rFonts w:ascii="Times New Roman" w:eastAsia="MS Mincho" w:hAnsi="Times New Roman" w:cs="Times New Roman"/>
          <w:iCs/>
        </w:rPr>
        <w:lastRenderedPageBreak/>
        <w:t>actividad económica. Si bien, algunos de estos sectores difieren de la experiencia de los Fondos Sectoriales mexicanos, se rescata el papel del impulso a estas actividades. La figura 1 nos indica el organigrama de instituciones encargadas de apoyar la investigación y desarrollo (I&amp;D) en Chile.</w:t>
      </w:r>
    </w:p>
    <w:p w14:paraId="151A63AA" w14:textId="77777777" w:rsidR="00927F81" w:rsidRPr="007C2077" w:rsidRDefault="00927F81" w:rsidP="007C2077">
      <w:pPr>
        <w:autoSpaceDE w:val="0"/>
        <w:autoSpaceDN w:val="0"/>
        <w:adjustRightInd w:val="0"/>
        <w:spacing w:line="360" w:lineRule="auto"/>
        <w:jc w:val="both"/>
        <w:rPr>
          <w:rFonts w:ascii="Times New Roman" w:eastAsia="MS Mincho" w:hAnsi="Times New Roman" w:cs="Times New Roman"/>
          <w:iCs/>
        </w:rPr>
      </w:pPr>
    </w:p>
    <w:p w14:paraId="3D714267" w14:textId="77777777" w:rsidR="007C2077" w:rsidRPr="00B25602" w:rsidRDefault="007C2077" w:rsidP="00911B39">
      <w:pPr>
        <w:autoSpaceDE w:val="0"/>
        <w:autoSpaceDN w:val="0"/>
        <w:adjustRightInd w:val="0"/>
        <w:spacing w:line="360" w:lineRule="auto"/>
        <w:jc w:val="center"/>
        <w:rPr>
          <w:rFonts w:ascii="Times New Roman" w:eastAsia="MS Mincho" w:hAnsi="Times New Roman" w:cs="Times New Roman"/>
          <w:b/>
          <w:iCs/>
          <w:color w:val="323E4F" w:themeColor="text2" w:themeShade="BF"/>
        </w:rPr>
      </w:pPr>
      <w:r w:rsidRPr="00B25602">
        <w:rPr>
          <w:rFonts w:ascii="Times New Roman" w:eastAsia="MS Mincho" w:hAnsi="Times New Roman" w:cs="Times New Roman"/>
          <w:b/>
          <w:iCs/>
          <w:color w:val="323E4F" w:themeColor="text2" w:themeShade="BF"/>
        </w:rPr>
        <w:t>Figura 1. Organigrama institucional del apoyo público a I&amp;D en Chile</w:t>
      </w:r>
    </w:p>
    <w:p w14:paraId="3D0D4BF3" w14:textId="77777777" w:rsidR="007C2077" w:rsidRPr="007C2077" w:rsidRDefault="007C2077" w:rsidP="00911B39">
      <w:pPr>
        <w:autoSpaceDE w:val="0"/>
        <w:autoSpaceDN w:val="0"/>
        <w:adjustRightInd w:val="0"/>
        <w:spacing w:line="360" w:lineRule="auto"/>
        <w:jc w:val="center"/>
        <w:rPr>
          <w:rFonts w:ascii="Times New Roman" w:eastAsia="MS Mincho" w:hAnsi="Times New Roman" w:cs="Times New Roman"/>
          <w:iCs/>
        </w:rPr>
      </w:pPr>
      <w:r w:rsidRPr="007C2077">
        <w:rPr>
          <w:rFonts w:ascii="Times New Roman" w:eastAsia="MS Mincho" w:hAnsi="Times New Roman" w:cs="Times New Roman"/>
          <w:noProof/>
          <w:lang w:val="es-ES"/>
        </w:rPr>
        <w:drawing>
          <wp:inline distT="0" distB="0" distL="0" distR="0" wp14:anchorId="387EB815" wp14:editId="704D7572">
            <wp:extent cx="5593977" cy="3684494"/>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97797" cy="3687010"/>
                    </a:xfrm>
                    <a:prstGeom prst="rect">
                      <a:avLst/>
                    </a:prstGeom>
                  </pic:spPr>
                </pic:pic>
              </a:graphicData>
            </a:graphic>
          </wp:inline>
        </w:drawing>
      </w:r>
    </w:p>
    <w:p w14:paraId="42277DA6" w14:textId="77777777" w:rsidR="007C2077" w:rsidRPr="00911B39" w:rsidRDefault="007C2077" w:rsidP="00911B39">
      <w:pPr>
        <w:autoSpaceDE w:val="0"/>
        <w:autoSpaceDN w:val="0"/>
        <w:adjustRightInd w:val="0"/>
        <w:spacing w:line="360" w:lineRule="auto"/>
        <w:ind w:firstLine="708"/>
        <w:jc w:val="both"/>
        <w:rPr>
          <w:rFonts w:ascii="Times New Roman" w:eastAsia="MS Mincho" w:hAnsi="Times New Roman" w:cs="Times New Roman"/>
          <w:iCs/>
          <w:sz w:val="16"/>
          <w:szCs w:val="16"/>
        </w:rPr>
      </w:pPr>
      <w:r w:rsidRPr="00911B39">
        <w:rPr>
          <w:rFonts w:ascii="Times New Roman" w:eastAsia="MS Mincho" w:hAnsi="Times New Roman" w:cs="Times New Roman"/>
          <w:b/>
          <w:iCs/>
          <w:sz w:val="16"/>
          <w:szCs w:val="16"/>
        </w:rPr>
        <w:t>Fuente:</w:t>
      </w:r>
      <w:r w:rsidRPr="00911B39">
        <w:rPr>
          <w:rFonts w:ascii="Times New Roman" w:eastAsia="MS Mincho" w:hAnsi="Times New Roman" w:cs="Times New Roman"/>
          <w:iCs/>
          <w:sz w:val="16"/>
          <w:szCs w:val="16"/>
        </w:rPr>
        <w:t xml:space="preserve"> OCDE, 2005.</w:t>
      </w:r>
    </w:p>
    <w:p w14:paraId="000C1104" w14:textId="77777777" w:rsidR="007C2077" w:rsidRPr="007C2077" w:rsidRDefault="007C2077" w:rsidP="007C2077">
      <w:pPr>
        <w:spacing w:line="360" w:lineRule="auto"/>
        <w:jc w:val="both"/>
        <w:rPr>
          <w:rFonts w:ascii="Times New Roman" w:eastAsia="Cambria" w:hAnsi="Times New Roman" w:cs="Times New Roman"/>
          <w:lang w:val="es-MX" w:eastAsia="en-US"/>
        </w:rPr>
      </w:pPr>
    </w:p>
    <w:p w14:paraId="69F57368" w14:textId="58BB8A5B" w:rsidR="007C2077" w:rsidRPr="007C2077" w:rsidRDefault="007C2077" w:rsidP="007C2077">
      <w:pPr>
        <w:spacing w:line="360" w:lineRule="auto"/>
        <w:jc w:val="both"/>
        <w:rPr>
          <w:rFonts w:ascii="Times New Roman" w:eastAsia="Cambria" w:hAnsi="Times New Roman" w:cs="Times New Roman"/>
          <w:lang w:val="es-MX" w:eastAsia="en-US"/>
        </w:rPr>
      </w:pPr>
      <w:r w:rsidRPr="007C2077">
        <w:rPr>
          <w:rFonts w:ascii="Times New Roman" w:eastAsia="Cambria" w:hAnsi="Times New Roman" w:cs="Times New Roman"/>
          <w:lang w:val="es-MX" w:eastAsia="en-US"/>
        </w:rPr>
        <w:t>Los datos de GIDE en términos del PIB entre México y Chile están por debajo del 0.5% (0.39% y 0.49% respectivamente). No obstante, las fuentes de financiamiento difieren. En Chile, las empresas y las instituciones de educación superior, privado no lucrativo y externo tienen una mayor participación de modo que en conjunt</w:t>
      </w:r>
      <w:r w:rsidR="00E866D7">
        <w:rPr>
          <w:rFonts w:ascii="Times New Roman" w:eastAsia="Cambria" w:hAnsi="Times New Roman" w:cs="Times New Roman"/>
          <w:lang w:val="es-MX" w:eastAsia="en-US"/>
        </w:rPr>
        <w:t>o</w:t>
      </w:r>
      <w:r w:rsidRPr="007C2077">
        <w:rPr>
          <w:rFonts w:ascii="Times New Roman" w:eastAsia="Cambria" w:hAnsi="Times New Roman" w:cs="Times New Roman"/>
          <w:lang w:val="es-MX" w:eastAsia="en-US"/>
        </w:rPr>
        <w:t xml:space="preserve"> representan más del 50% de participación.</w:t>
      </w:r>
    </w:p>
    <w:p w14:paraId="673A0FE3" w14:textId="5D568B87" w:rsidR="007C2077" w:rsidRPr="003421EF" w:rsidRDefault="007C2077" w:rsidP="00DB1A6A">
      <w:pPr>
        <w:pStyle w:val="Ttulo2"/>
        <w:spacing w:before="100" w:beforeAutospacing="1"/>
        <w:rPr>
          <w:rFonts w:ascii="Times New Roman" w:eastAsia="Times New Roman" w:hAnsi="Times New Roman" w:cs="Times New Roman"/>
          <w:b/>
          <w:bCs/>
          <w:sz w:val="24"/>
          <w:szCs w:val="24"/>
        </w:rPr>
      </w:pPr>
      <w:bookmarkStart w:id="22" w:name="_Toc32920322"/>
      <w:r w:rsidRPr="003421EF">
        <w:rPr>
          <w:rFonts w:ascii="Times New Roman" w:eastAsia="Times New Roman" w:hAnsi="Times New Roman" w:cs="Times New Roman"/>
          <w:b/>
          <w:bCs/>
          <w:sz w:val="24"/>
          <w:szCs w:val="24"/>
        </w:rPr>
        <w:lastRenderedPageBreak/>
        <w:t>II.4</w:t>
      </w:r>
      <w:r w:rsidR="003421EF">
        <w:rPr>
          <w:rFonts w:ascii="Times New Roman" w:eastAsia="Times New Roman" w:hAnsi="Times New Roman" w:cs="Times New Roman"/>
          <w:b/>
          <w:bCs/>
        </w:rPr>
        <w:t>.</w:t>
      </w:r>
      <w:r w:rsidRPr="003421EF">
        <w:rPr>
          <w:rFonts w:ascii="Times New Roman" w:eastAsia="Times New Roman" w:hAnsi="Times New Roman" w:cs="Times New Roman"/>
          <w:b/>
          <w:bCs/>
          <w:sz w:val="24"/>
          <w:szCs w:val="24"/>
        </w:rPr>
        <w:t xml:space="preserve"> Árbol de problemas</w:t>
      </w:r>
      <w:bookmarkEnd w:id="21"/>
      <w:bookmarkEnd w:id="22"/>
      <w:r w:rsidRPr="003421EF">
        <w:rPr>
          <w:rFonts w:ascii="Times New Roman" w:eastAsia="Times New Roman" w:hAnsi="Times New Roman" w:cs="Times New Roman"/>
          <w:b/>
          <w:bCs/>
          <w:sz w:val="24"/>
          <w:szCs w:val="24"/>
        </w:rPr>
        <w:t xml:space="preserve"> </w:t>
      </w:r>
    </w:p>
    <w:p w14:paraId="39807412" w14:textId="67397850" w:rsidR="007C2077" w:rsidRDefault="007C2077" w:rsidP="002336F8">
      <w:pPr>
        <w:spacing w:before="100" w:beforeAutospacing="1" w:line="360" w:lineRule="auto"/>
        <w:jc w:val="both"/>
        <w:rPr>
          <w:rFonts w:ascii="Times New Roman" w:eastAsia="MS Mincho" w:hAnsi="Times New Roman" w:cs="Times New Roman"/>
        </w:rPr>
      </w:pPr>
      <w:bookmarkStart w:id="23" w:name="_Toc447611669"/>
      <w:r w:rsidRPr="007C2077">
        <w:rPr>
          <w:rFonts w:ascii="Times New Roman" w:eastAsia="MS Mincho" w:hAnsi="Times New Roman" w:cs="Times New Roman"/>
        </w:rPr>
        <w:t xml:space="preserve">A continuación, se desarrolla una explicación del problema que el programa S192 busca resolver junto con las Secretarías de Estado y la APF, así como sus principales causas y los efectos generados. </w:t>
      </w:r>
    </w:p>
    <w:p w14:paraId="60AB16B6" w14:textId="77777777" w:rsidR="00B25602" w:rsidRPr="00B25602" w:rsidRDefault="00B25602" w:rsidP="00E866D7">
      <w:pPr>
        <w:spacing w:line="360" w:lineRule="auto"/>
        <w:jc w:val="center"/>
        <w:rPr>
          <w:rFonts w:ascii="Times New Roman" w:eastAsia="MS Mincho" w:hAnsi="Times New Roman" w:cs="Times New Roman"/>
          <w:b/>
          <w:color w:val="2F5496" w:themeColor="accent1" w:themeShade="BF"/>
        </w:rPr>
      </w:pPr>
    </w:p>
    <w:p w14:paraId="466CE662" w14:textId="321B6980" w:rsidR="007C2077" w:rsidRPr="00B25602" w:rsidRDefault="007C2077" w:rsidP="00E866D7">
      <w:pPr>
        <w:spacing w:line="360" w:lineRule="auto"/>
        <w:jc w:val="center"/>
        <w:rPr>
          <w:rFonts w:ascii="Times New Roman" w:eastAsia="MS Mincho" w:hAnsi="Times New Roman" w:cs="Times New Roman"/>
          <w:b/>
          <w:color w:val="323E4F" w:themeColor="text2" w:themeShade="BF"/>
        </w:rPr>
      </w:pPr>
      <w:r w:rsidRPr="00B25602">
        <w:rPr>
          <w:rFonts w:ascii="Times New Roman" w:eastAsia="MS Mincho" w:hAnsi="Times New Roman" w:cs="Times New Roman"/>
          <w:b/>
          <w:color w:val="323E4F" w:themeColor="text2" w:themeShade="BF"/>
        </w:rPr>
        <w:t>Figura 2</w:t>
      </w:r>
      <w:r w:rsidR="00E866D7" w:rsidRPr="00B25602">
        <w:rPr>
          <w:rFonts w:ascii="Times New Roman" w:eastAsia="MS Mincho" w:hAnsi="Times New Roman" w:cs="Times New Roman"/>
          <w:b/>
          <w:color w:val="323E4F" w:themeColor="text2" w:themeShade="BF"/>
        </w:rPr>
        <w:t>.</w:t>
      </w:r>
      <w:r w:rsidRPr="00B25602">
        <w:rPr>
          <w:rFonts w:ascii="Times New Roman" w:eastAsia="MS Mincho" w:hAnsi="Times New Roman" w:cs="Times New Roman"/>
          <w:b/>
          <w:color w:val="323E4F" w:themeColor="text2" w:themeShade="BF"/>
        </w:rPr>
        <w:t xml:space="preserve"> Árbol de Problemas de los Fondos Sectoriales</w:t>
      </w:r>
    </w:p>
    <w:p w14:paraId="5ACF2035" w14:textId="75D6FF41" w:rsidR="007C2077" w:rsidRPr="007C2077" w:rsidRDefault="00DB1A6A" w:rsidP="007C2077">
      <w:pPr>
        <w:spacing w:line="360" w:lineRule="auto"/>
        <w:jc w:val="center"/>
        <w:rPr>
          <w:rFonts w:ascii="Times New Roman" w:eastAsia="MS Mincho" w:hAnsi="Times New Roman" w:cs="Times New Roman"/>
        </w:rPr>
      </w:pPr>
      <w:r w:rsidRPr="007C2077">
        <w:rPr>
          <w:rFonts w:ascii="Calibri" w:eastAsia="Times New Roman" w:hAnsi="Calibri" w:cs="Times New Roman"/>
          <w:noProof/>
          <w:lang w:val="es-ES"/>
        </w:rPr>
        <mc:AlternateContent>
          <mc:Choice Requires="wpc">
            <w:drawing>
              <wp:inline distT="0" distB="0" distL="0" distR="0" wp14:anchorId="540B47DD" wp14:editId="2BEA9F19">
                <wp:extent cx="5502910" cy="5583999"/>
                <wp:effectExtent l="0" t="0" r="21590" b="0"/>
                <wp:docPr id="203" name="Lienzo 2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6" name="Cuadro de texto 2"/>
                        <wps:cNvSpPr txBox="1">
                          <a:spLocks noChangeArrowheads="1"/>
                        </wps:cNvSpPr>
                        <wps:spPr bwMode="auto">
                          <a:xfrm>
                            <a:off x="794700" y="2203818"/>
                            <a:ext cx="3863900" cy="7018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7A02FC45" w14:textId="77777777" w:rsidR="007A1A58" w:rsidRDefault="007A1A58" w:rsidP="00DB1A6A">
                              <w:pPr>
                                <w:pStyle w:val="NormalWeb"/>
                                <w:spacing w:line="254" w:lineRule="auto"/>
                                <w:jc w:val="center"/>
                                <w:rPr>
                                  <w:sz w:val="22"/>
                                </w:rPr>
                              </w:pPr>
                              <w:r>
                                <w:rPr>
                                  <w:rFonts w:eastAsia="MS Mincho"/>
                                  <w:sz w:val="18"/>
                                  <w:szCs w:val="20"/>
                                </w:rPr>
                                <w:t>Las entidades y dependencias de la Administración Pública Federal cuentan con bajas capacidades</w:t>
                              </w:r>
                              <w:r>
                                <w:rPr>
                                  <w:rFonts w:eastAsia="MS Mincho"/>
                                  <w:b/>
                                  <w:bCs/>
                                  <w:sz w:val="18"/>
                                  <w:szCs w:val="20"/>
                                </w:rPr>
                                <w:t xml:space="preserve"> —referidas a la generación y uso de conocimiento— en Ciencia, Tecnología e Innovación (CTI)</w:t>
                              </w:r>
                              <w:r>
                                <w:rPr>
                                  <w:rFonts w:eastAsia="MS Mincho"/>
                                  <w:sz w:val="18"/>
                                  <w:szCs w:val="20"/>
                                </w:rPr>
                                <w:t xml:space="preserve"> para atender las demandas públicas y sus obligaciones legalmente estipuladas.</w:t>
                              </w:r>
                            </w:p>
                          </w:txbxContent>
                        </wps:txbx>
                        <wps:bodyPr rot="0" vert="horz" wrap="square" lIns="91440" tIns="45720" rIns="91440" bIns="45720" anchor="t" anchorCtr="0" upright="1">
                          <a:noAutofit/>
                        </wps:bodyPr>
                      </wps:wsp>
                      <wps:wsp>
                        <wps:cNvPr id="48" name="Cuadro de texto 2"/>
                        <wps:cNvSpPr txBox="1">
                          <a:spLocks noChangeArrowheads="1"/>
                        </wps:cNvSpPr>
                        <wps:spPr bwMode="auto">
                          <a:xfrm>
                            <a:off x="2815800" y="1211918"/>
                            <a:ext cx="1237700" cy="70685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5F94D422" w14:textId="77777777" w:rsidR="007A1A58" w:rsidRPr="00877141" w:rsidRDefault="007A1A58" w:rsidP="00DB1A6A">
                              <w:pPr>
                                <w:pStyle w:val="NormalWeb"/>
                                <w:spacing w:line="254" w:lineRule="auto"/>
                                <w:jc w:val="center"/>
                                <w:rPr>
                                  <w:sz w:val="16"/>
                                  <w:szCs w:val="16"/>
                                </w:rPr>
                              </w:pPr>
                              <w:r w:rsidRPr="006A6562">
                                <w:rPr>
                                  <w:rFonts w:eastAsia="Calibri"/>
                                  <w:sz w:val="16"/>
                                  <w:szCs w:val="16"/>
                                </w:rPr>
                                <w:t>Alta dependencia de los recursos gubernamentales para la realización de actividades en IDTI.</w:t>
                              </w:r>
                            </w:p>
                          </w:txbxContent>
                        </wps:txbx>
                        <wps:bodyPr rot="0" vert="horz" wrap="square" lIns="91440" tIns="45720" rIns="91440" bIns="45720" anchor="ctr" anchorCtr="0" upright="1">
                          <a:noAutofit/>
                        </wps:bodyPr>
                      </wps:wsp>
                      <wps:wsp>
                        <wps:cNvPr id="49" name="Cuadro de texto 2"/>
                        <wps:cNvSpPr txBox="1">
                          <a:spLocks noChangeArrowheads="1"/>
                        </wps:cNvSpPr>
                        <wps:spPr bwMode="auto">
                          <a:xfrm>
                            <a:off x="111600" y="1211918"/>
                            <a:ext cx="1237600" cy="7068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6B9AF9EF" w14:textId="77777777" w:rsidR="007A1A58" w:rsidRDefault="007A1A58" w:rsidP="00DB1A6A">
                              <w:pPr>
                                <w:pStyle w:val="NormalWeb"/>
                                <w:spacing w:line="254" w:lineRule="auto"/>
                                <w:jc w:val="center"/>
                              </w:pPr>
                              <w:r>
                                <w:rPr>
                                  <w:rFonts w:eastAsia="Calibri"/>
                                  <w:sz w:val="16"/>
                                  <w:szCs w:val="16"/>
                                </w:rPr>
                                <w:t>Existe rezago científico y tecnológico en los sectores para la atención de las necesidades de los sectores de la APF.</w:t>
                              </w:r>
                            </w:p>
                          </w:txbxContent>
                        </wps:txbx>
                        <wps:bodyPr rot="0" vert="horz" wrap="square" lIns="91440" tIns="45720" rIns="91440" bIns="45720" anchor="ctr" anchorCtr="0" upright="1">
                          <a:noAutofit/>
                        </wps:bodyPr>
                      </wps:wsp>
                      <wps:wsp>
                        <wps:cNvPr id="50" name="Cuadro de texto 2"/>
                        <wps:cNvSpPr txBox="1">
                          <a:spLocks noChangeArrowheads="1"/>
                        </wps:cNvSpPr>
                        <wps:spPr bwMode="auto">
                          <a:xfrm>
                            <a:off x="1468400" y="1211918"/>
                            <a:ext cx="1237600" cy="70685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33734102" w14:textId="77777777" w:rsidR="007A1A58" w:rsidRDefault="007A1A58" w:rsidP="00DB1A6A">
                              <w:pPr>
                                <w:pStyle w:val="NormalWeb"/>
                                <w:spacing w:line="254" w:lineRule="auto"/>
                                <w:jc w:val="center"/>
                                <w:rPr>
                                  <w:sz w:val="17"/>
                                  <w:szCs w:val="17"/>
                                </w:rPr>
                              </w:pPr>
                              <w:r w:rsidRPr="00877141">
                                <w:rPr>
                                  <w:rFonts w:eastAsia="Calibri"/>
                                  <w:sz w:val="16"/>
                                  <w:szCs w:val="16"/>
                                </w:rPr>
                                <w:t>Los sectores tienen alta dependencia tecnológica de terceros fuera del país</w:t>
                              </w:r>
                              <w:r>
                                <w:rPr>
                                  <w:rFonts w:eastAsia="Calibri"/>
                                  <w:sz w:val="16"/>
                                  <w:szCs w:val="16"/>
                                </w:rPr>
                                <w:t>.</w:t>
                              </w:r>
                              <w:r w:rsidRPr="00877141">
                                <w:rPr>
                                  <w:rFonts w:eastAsia="Calibri"/>
                                  <w:sz w:val="16"/>
                                  <w:szCs w:val="16"/>
                                </w:rPr>
                                <w:t xml:space="preserve"> </w:t>
                              </w:r>
                              <w:r>
                                <w:rPr>
                                  <w:rFonts w:eastAsia="Calibri"/>
                                  <w:sz w:val="16"/>
                                  <w:szCs w:val="16"/>
                                </w:rPr>
                                <w:t xml:space="preserve">Pobre </w:t>
                              </w:r>
                              <w:r w:rsidRPr="00877141">
                                <w:rPr>
                                  <w:rFonts w:eastAsia="Calibri"/>
                                  <w:sz w:val="16"/>
                                  <w:szCs w:val="16"/>
                                </w:rPr>
                                <w:t xml:space="preserve">desarrollo y crecimiento </w:t>
                              </w:r>
                              <w:r w:rsidRPr="007C46BD">
                                <w:rPr>
                                  <w:rFonts w:eastAsia="Calibri"/>
                                  <w:sz w:val="16"/>
                                  <w:szCs w:val="16"/>
                                </w:rPr>
                                <w:t>empresarial</w:t>
                              </w:r>
                              <w:r>
                                <w:rPr>
                                  <w:rFonts w:eastAsia="Calibri"/>
                                  <w:sz w:val="17"/>
                                  <w:szCs w:val="17"/>
                                </w:rPr>
                                <w:t>.</w:t>
                              </w:r>
                            </w:p>
                          </w:txbxContent>
                        </wps:txbx>
                        <wps:bodyPr rot="0" vert="horz" wrap="square" lIns="91440" tIns="45720" rIns="91440" bIns="45720" anchor="ctr" anchorCtr="0" upright="1">
                          <a:noAutofit/>
                        </wps:bodyPr>
                      </wps:wsp>
                      <wps:wsp>
                        <wps:cNvPr id="51" name="Cuadro de texto 2"/>
                        <wps:cNvSpPr txBox="1">
                          <a:spLocks noChangeArrowheads="1"/>
                        </wps:cNvSpPr>
                        <wps:spPr bwMode="auto">
                          <a:xfrm>
                            <a:off x="36800" y="313718"/>
                            <a:ext cx="5370300" cy="5570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6791B4E1" w14:textId="77777777" w:rsidR="007A1A58" w:rsidRDefault="007A1A58" w:rsidP="00DB1A6A">
                              <w:pPr>
                                <w:pStyle w:val="NormalWeb"/>
                                <w:spacing w:line="254" w:lineRule="auto"/>
                                <w:jc w:val="center"/>
                              </w:pPr>
                              <w:r>
                                <w:rPr>
                                  <w:rFonts w:eastAsia="Calibri"/>
                                  <w:sz w:val="18"/>
                                  <w:szCs w:val="18"/>
                                </w:rPr>
                                <w:t>Se presentan esfuerzos desarticulados e insuficientes para desarrollar actividades de IDTI entre los sectores, trayendo poca contribución al impulso de la educación científica y tecnológica como elemento indispensable para la transformación de México en una sociedad del conocimiento.</w:t>
                              </w:r>
                            </w:p>
                          </w:txbxContent>
                        </wps:txbx>
                        <wps:bodyPr rot="0" vert="horz" wrap="square" lIns="91440" tIns="45720" rIns="91440" bIns="45720" anchor="b" anchorCtr="0" upright="1">
                          <a:noAutofit/>
                        </wps:bodyPr>
                      </wps:wsp>
                      <wps:wsp>
                        <wps:cNvPr id="52" name="Cuadro de texto 2"/>
                        <wps:cNvSpPr txBox="1">
                          <a:spLocks noChangeArrowheads="1"/>
                        </wps:cNvSpPr>
                        <wps:spPr bwMode="auto">
                          <a:xfrm>
                            <a:off x="9300" y="3233118"/>
                            <a:ext cx="1696800" cy="9544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5BD4FCB2" w14:textId="77777777" w:rsidR="007A1A58" w:rsidRDefault="007A1A58" w:rsidP="00DB1A6A">
                              <w:pPr>
                                <w:pStyle w:val="NormalWeb"/>
                                <w:spacing w:line="254" w:lineRule="auto"/>
                                <w:jc w:val="center"/>
                                <w:rPr>
                                  <w:sz w:val="17"/>
                                  <w:szCs w:val="17"/>
                                </w:rPr>
                              </w:pPr>
                              <w:r>
                                <w:rPr>
                                  <w:rFonts w:eastAsia="Calibri"/>
                                  <w:sz w:val="17"/>
                                  <w:szCs w:val="17"/>
                                </w:rPr>
                                <w:t>Bajos niveles de participación del sector privado como fuente de financiamiento para actividades destinadas a IDTI.</w:t>
                              </w:r>
                            </w:p>
                          </w:txbxContent>
                        </wps:txbx>
                        <wps:bodyPr rot="0" vert="horz" wrap="square" lIns="91440" tIns="45720" rIns="91440" bIns="45720" anchor="ctr" anchorCtr="0" upright="1">
                          <a:noAutofit/>
                        </wps:bodyPr>
                      </wps:wsp>
                      <wps:wsp>
                        <wps:cNvPr id="53" name="Cuadro de texto 2"/>
                        <wps:cNvSpPr txBox="1">
                          <a:spLocks noChangeArrowheads="1"/>
                        </wps:cNvSpPr>
                        <wps:spPr bwMode="auto">
                          <a:xfrm>
                            <a:off x="1879800" y="3233118"/>
                            <a:ext cx="1696700" cy="9544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14EF1428" w14:textId="77777777" w:rsidR="007A1A58" w:rsidRDefault="007A1A58" w:rsidP="00DB1A6A">
                              <w:pPr>
                                <w:pStyle w:val="NormalWeb"/>
                                <w:spacing w:line="254" w:lineRule="auto"/>
                                <w:jc w:val="center"/>
                                <w:rPr>
                                  <w:sz w:val="17"/>
                                  <w:szCs w:val="17"/>
                                </w:rPr>
                              </w:pPr>
                              <w:r>
                                <w:rPr>
                                  <w:rFonts w:eastAsia="Calibri"/>
                                  <w:sz w:val="17"/>
                                  <w:szCs w:val="17"/>
                                </w:rPr>
                                <w:t>Los Sectores de la APF no cuentan con recursos financieros, técnicos y de infraestructura suficientes para sostener un sistema y realizar actividades de IDTI por sector.</w:t>
                              </w:r>
                            </w:p>
                          </w:txbxContent>
                        </wps:txbx>
                        <wps:bodyPr rot="0" vert="horz" wrap="square" lIns="91440" tIns="45720" rIns="91440" bIns="45720" anchor="ctr" anchorCtr="0" upright="1">
                          <a:noAutofit/>
                        </wps:bodyPr>
                      </wps:wsp>
                      <wps:wsp>
                        <wps:cNvPr id="54" name="Cuadro de texto 2"/>
                        <wps:cNvSpPr txBox="1">
                          <a:spLocks noChangeArrowheads="1"/>
                        </wps:cNvSpPr>
                        <wps:spPr bwMode="auto">
                          <a:xfrm>
                            <a:off x="3779600" y="3242418"/>
                            <a:ext cx="1696800" cy="9545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32E4EDB1" w14:textId="77777777" w:rsidR="007A1A58" w:rsidRDefault="007A1A58" w:rsidP="00DB1A6A">
                              <w:pPr>
                                <w:pStyle w:val="NormalWeb"/>
                                <w:spacing w:line="254" w:lineRule="auto"/>
                                <w:jc w:val="center"/>
                              </w:pPr>
                              <w:r>
                                <w:rPr>
                                  <w:rFonts w:eastAsia="Calibri"/>
                                  <w:sz w:val="16"/>
                                  <w:szCs w:val="16"/>
                                </w:rPr>
                                <w:t>Vinculación desarticulada entre los Sectores de la APF, el sector privado, las Universidades y los Centros de investigación para concentrar esfuerzos en infraestructura y recursos humanos especializados en IDTI.</w:t>
                              </w:r>
                            </w:p>
                          </w:txbxContent>
                        </wps:txbx>
                        <wps:bodyPr rot="0" vert="horz" wrap="square" lIns="91440" tIns="45720" rIns="91440" bIns="45720" anchor="ctr" anchorCtr="0" upright="1">
                          <a:noAutofit/>
                        </wps:bodyPr>
                      </wps:wsp>
                      <wps:wsp>
                        <wps:cNvPr id="55" name="Cuadro de texto 2"/>
                        <wps:cNvSpPr txBox="1">
                          <a:spLocks noChangeArrowheads="1"/>
                        </wps:cNvSpPr>
                        <wps:spPr bwMode="auto">
                          <a:xfrm>
                            <a:off x="1879400" y="4468218"/>
                            <a:ext cx="1696800" cy="7068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137F6AC2" w14:textId="77777777" w:rsidR="007A1A58" w:rsidRDefault="007A1A58" w:rsidP="00DB1A6A">
                              <w:pPr>
                                <w:pStyle w:val="NormalWeb"/>
                                <w:spacing w:line="254" w:lineRule="auto"/>
                                <w:jc w:val="center"/>
                                <w:rPr>
                                  <w:sz w:val="16"/>
                                  <w:szCs w:val="16"/>
                                </w:rPr>
                              </w:pPr>
                              <w:r>
                                <w:rPr>
                                  <w:rFonts w:eastAsia="Calibri"/>
                                  <w:sz w:val="16"/>
                                  <w:szCs w:val="16"/>
                                </w:rPr>
                                <w:t>Limitadas redes para la articulación, aprovechamiento e impulso de las actividades en IDTI entre los sectores de la APF con otros actores.</w:t>
                              </w:r>
                            </w:p>
                          </w:txbxContent>
                        </wps:txbx>
                        <wps:bodyPr rot="0" vert="horz" wrap="square" lIns="91440" tIns="45720" rIns="91440" bIns="45720" anchor="ctr" anchorCtr="0" upright="1">
                          <a:noAutofit/>
                        </wps:bodyPr>
                      </wps:wsp>
                      <wps:wsp>
                        <wps:cNvPr id="56" name="Cuadro de texto 2"/>
                        <wps:cNvSpPr txBox="1">
                          <a:spLocks noChangeArrowheads="1"/>
                        </wps:cNvSpPr>
                        <wps:spPr bwMode="auto">
                          <a:xfrm>
                            <a:off x="9500" y="4468218"/>
                            <a:ext cx="1696700" cy="7068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1A2F4495" w14:textId="77777777" w:rsidR="007A1A58" w:rsidRDefault="007A1A58" w:rsidP="00DB1A6A">
                              <w:pPr>
                                <w:pStyle w:val="NormalWeb"/>
                                <w:spacing w:line="254" w:lineRule="auto"/>
                                <w:jc w:val="center"/>
                                <w:rPr>
                                  <w:sz w:val="17"/>
                                  <w:szCs w:val="17"/>
                                </w:rPr>
                              </w:pPr>
                              <w:r>
                                <w:rPr>
                                  <w:rFonts w:eastAsia="Calibri"/>
                                  <w:sz w:val="17"/>
                                  <w:szCs w:val="17"/>
                                </w:rPr>
                                <w:t>Los procesos de desarrollo e innovación implican altos costos o bajas utilidades que desincentivan la participación del sector privado.</w:t>
                              </w:r>
                            </w:p>
                          </w:txbxContent>
                        </wps:txbx>
                        <wps:bodyPr rot="0" vert="horz" wrap="square" lIns="91440" tIns="45720" rIns="91440" bIns="45720" anchor="ctr" anchorCtr="0" upright="1">
                          <a:noAutofit/>
                        </wps:bodyPr>
                      </wps:wsp>
                      <wps:wsp>
                        <wps:cNvPr id="57" name="Cuadro de texto 2"/>
                        <wps:cNvSpPr txBox="1">
                          <a:spLocks noChangeArrowheads="1"/>
                        </wps:cNvSpPr>
                        <wps:spPr bwMode="auto">
                          <a:xfrm>
                            <a:off x="3779400" y="4468218"/>
                            <a:ext cx="1697400" cy="7068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2266D322" w14:textId="77777777" w:rsidR="007A1A58" w:rsidRDefault="007A1A58" w:rsidP="00DB1A6A">
                              <w:pPr>
                                <w:pStyle w:val="NormalWeb"/>
                                <w:spacing w:after="160" w:line="254" w:lineRule="auto"/>
                                <w:jc w:val="center"/>
                                <w:rPr>
                                  <w:sz w:val="17"/>
                                  <w:szCs w:val="17"/>
                                </w:rPr>
                              </w:pPr>
                              <w:r>
                                <w:rPr>
                                  <w:rFonts w:eastAsia="Calibri"/>
                                  <w:sz w:val="17"/>
                                  <w:szCs w:val="17"/>
                                </w:rPr>
                                <w:t>Insuficientes acuerdos entre los Sectores de la APF con CONACYT en la atención de las demandas en IDTI.</w:t>
                              </w:r>
                            </w:p>
                          </w:txbxContent>
                        </wps:txbx>
                        <wps:bodyPr rot="0" vert="horz" wrap="square" lIns="91440" tIns="45720" rIns="91440" bIns="45720" anchor="ctr" anchorCtr="0" upright="1">
                          <a:noAutofit/>
                        </wps:bodyPr>
                      </wps:wsp>
                      <wps:wsp>
                        <wps:cNvPr id="58" name="Cuadro de texto 2"/>
                        <wps:cNvSpPr txBox="1">
                          <a:spLocks noChangeArrowheads="1"/>
                        </wps:cNvSpPr>
                        <wps:spPr bwMode="auto">
                          <a:xfrm>
                            <a:off x="4153900" y="1211918"/>
                            <a:ext cx="1237000" cy="7068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5DBE925F" w14:textId="77777777" w:rsidR="007A1A58" w:rsidRDefault="007A1A58" w:rsidP="00DB1A6A">
                              <w:pPr>
                                <w:pStyle w:val="NormalWeb"/>
                                <w:spacing w:line="254" w:lineRule="auto"/>
                                <w:jc w:val="center"/>
                              </w:pPr>
                              <w:r>
                                <w:rPr>
                                  <w:rFonts w:eastAsia="Calibri"/>
                                  <w:sz w:val="16"/>
                                  <w:szCs w:val="16"/>
                                </w:rPr>
                                <w:t>Desaprovechamiento y dispersión de capacidades en ciencia, tecnología e innovación instalada.</w:t>
                              </w:r>
                            </w:p>
                          </w:txbxContent>
                        </wps:txbx>
                        <wps:bodyPr rot="0" vert="horz" wrap="square" lIns="91440" tIns="45720" rIns="91440" bIns="45720" anchor="ctr" anchorCtr="0" upright="1">
                          <a:noAutofit/>
                        </wps:bodyPr>
                      </wps:wsp>
                      <wps:wsp>
                        <wps:cNvPr id="59" name="Conector angular 201"/>
                        <wps:cNvCnPr>
                          <a:cxnSpLocks noChangeShapeType="1"/>
                          <a:stCxn id="46" idx="0"/>
                          <a:endCxn id="46" idx="2"/>
                        </wps:cNvCnPr>
                        <wps:spPr bwMode="auto">
                          <a:xfrm rot="5400000" flipH="1" flipV="1">
                            <a:off x="1555600" y="45518"/>
                            <a:ext cx="341200" cy="199150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60" name="Conector angular 202"/>
                        <wps:cNvCnPr>
                          <a:cxnSpLocks noChangeShapeType="1"/>
                          <a:stCxn id="46" idx="0"/>
                          <a:endCxn id="46" idx="2"/>
                        </wps:cNvCnPr>
                        <wps:spPr bwMode="auto">
                          <a:xfrm rot="5400000" flipH="1" flipV="1">
                            <a:off x="2234000" y="723918"/>
                            <a:ext cx="341200" cy="63470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61" name="Conector angular 203"/>
                        <wps:cNvCnPr>
                          <a:cxnSpLocks noChangeShapeType="1"/>
                          <a:stCxn id="46" idx="0"/>
                          <a:endCxn id="46" idx="2"/>
                        </wps:cNvCnPr>
                        <wps:spPr bwMode="auto">
                          <a:xfrm rot="16200000" flipV="1">
                            <a:off x="2907700" y="684918"/>
                            <a:ext cx="341200" cy="71270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62" name="Conector angular 204"/>
                        <wps:cNvCnPr>
                          <a:cxnSpLocks noChangeShapeType="1"/>
                          <a:stCxn id="46" idx="0"/>
                          <a:endCxn id="46" idx="2"/>
                        </wps:cNvCnPr>
                        <wps:spPr bwMode="auto">
                          <a:xfrm rot="16200000" flipV="1">
                            <a:off x="3576600" y="16018"/>
                            <a:ext cx="341200" cy="205050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63" name="Conector angular 1"/>
                        <wps:cNvCnPr>
                          <a:cxnSpLocks noChangeShapeType="1"/>
                          <a:stCxn id="46" idx="0"/>
                          <a:endCxn id="46" idx="2"/>
                        </wps:cNvCnPr>
                        <wps:spPr bwMode="auto">
                          <a:xfrm rot="16200000" flipV="1">
                            <a:off x="1585900" y="1063218"/>
                            <a:ext cx="285100" cy="199620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192" name="Conector angular 15"/>
                        <wps:cNvCnPr>
                          <a:cxnSpLocks noChangeShapeType="1"/>
                          <a:stCxn id="46" idx="0"/>
                          <a:endCxn id="46" idx="2"/>
                        </wps:cNvCnPr>
                        <wps:spPr bwMode="auto">
                          <a:xfrm rot="16200000" flipV="1">
                            <a:off x="2246900" y="1724118"/>
                            <a:ext cx="320000" cy="63940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193" name="Conector angular 16"/>
                        <wps:cNvCnPr>
                          <a:cxnSpLocks noChangeShapeType="1"/>
                          <a:stCxn id="46" idx="0"/>
                          <a:endCxn id="48" idx="2"/>
                        </wps:cNvCnPr>
                        <wps:spPr bwMode="auto">
                          <a:xfrm rot="5400000" flipH="1" flipV="1">
                            <a:off x="2938125" y="1707293"/>
                            <a:ext cx="285050" cy="70800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194" name="Conector angular 17"/>
                        <wps:cNvCnPr>
                          <a:cxnSpLocks noChangeShapeType="1"/>
                          <a:stCxn id="46" idx="0"/>
                          <a:endCxn id="46" idx="2"/>
                        </wps:cNvCnPr>
                        <wps:spPr bwMode="auto">
                          <a:xfrm rot="5400000" flipH="1" flipV="1">
                            <a:off x="3606900" y="1038418"/>
                            <a:ext cx="285100" cy="204580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195" name="Conector angular 18"/>
                        <wps:cNvCnPr>
                          <a:cxnSpLocks noChangeShapeType="1"/>
                          <a:stCxn id="46" idx="0"/>
                          <a:endCxn id="46" idx="2"/>
                        </wps:cNvCnPr>
                        <wps:spPr bwMode="auto">
                          <a:xfrm rot="5400000" flipH="1" flipV="1">
                            <a:off x="1628400" y="2134918"/>
                            <a:ext cx="327500" cy="186890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196" name="Conector angular 20"/>
                        <wps:cNvCnPr>
                          <a:cxnSpLocks noChangeShapeType="1"/>
                          <a:stCxn id="46" idx="0"/>
                          <a:endCxn id="46" idx="2"/>
                        </wps:cNvCnPr>
                        <wps:spPr bwMode="auto">
                          <a:xfrm rot="16200000" flipV="1">
                            <a:off x="3508900" y="2123318"/>
                            <a:ext cx="336800" cy="190140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197" name="Conector recto de flecha 23"/>
                        <wps:cNvCnPr>
                          <a:cxnSpLocks noChangeShapeType="1"/>
                          <a:stCxn id="46" idx="0"/>
                          <a:endCxn id="46" idx="2"/>
                        </wps:cNvCnPr>
                        <wps:spPr bwMode="auto">
                          <a:xfrm flipH="1" flipV="1">
                            <a:off x="4628000" y="4196918"/>
                            <a:ext cx="100" cy="271300"/>
                          </a:xfrm>
                          <a:prstGeom prst="straightConnector1">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198" name="Conector recto de flecha 24"/>
                        <wps:cNvCnPr>
                          <a:cxnSpLocks noChangeShapeType="1"/>
                          <a:stCxn id="46" idx="0"/>
                          <a:endCxn id="46" idx="2"/>
                        </wps:cNvCnPr>
                        <wps:spPr bwMode="auto">
                          <a:xfrm flipV="1">
                            <a:off x="2727800" y="4187518"/>
                            <a:ext cx="400" cy="280700"/>
                          </a:xfrm>
                          <a:prstGeom prst="straightConnector1">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199" name="Conector recto de flecha 25"/>
                        <wps:cNvCnPr>
                          <a:cxnSpLocks noChangeShapeType="1"/>
                          <a:stCxn id="46" idx="0"/>
                          <a:endCxn id="46" idx="2"/>
                        </wps:cNvCnPr>
                        <wps:spPr bwMode="auto">
                          <a:xfrm flipH="1" flipV="1">
                            <a:off x="857700" y="4187518"/>
                            <a:ext cx="200" cy="280700"/>
                          </a:xfrm>
                          <a:prstGeom prst="straightConnector1">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00" name="Conector recto de flecha 26"/>
                        <wps:cNvCnPr>
                          <a:cxnSpLocks noChangeShapeType="1"/>
                          <a:stCxn id="46" idx="0"/>
                          <a:endCxn id="46" idx="2"/>
                        </wps:cNvCnPr>
                        <wps:spPr bwMode="auto">
                          <a:xfrm flipH="1" flipV="1">
                            <a:off x="2726600" y="2905618"/>
                            <a:ext cx="1600" cy="327500"/>
                          </a:xfrm>
                          <a:prstGeom prst="straightConnector1">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01" name="Cuadro de texto 2"/>
                        <wps:cNvSpPr txBox="1">
                          <a:spLocks noChangeArrowheads="1"/>
                        </wps:cNvSpPr>
                        <wps:spPr bwMode="auto">
                          <a:xfrm>
                            <a:off x="2275175" y="5351443"/>
                            <a:ext cx="717500" cy="23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22A3D" w14:textId="77777777" w:rsidR="007A1A58" w:rsidRDefault="007A1A58" w:rsidP="00DB1A6A">
                              <w:pPr>
                                <w:pStyle w:val="NormalWeb"/>
                                <w:spacing w:after="160" w:line="254" w:lineRule="auto"/>
                                <w:jc w:val="center"/>
                              </w:pPr>
                              <w:r w:rsidRPr="00DB0F9D">
                                <w:rPr>
                                  <w:rFonts w:eastAsia="Calibri"/>
                                  <w:b/>
                                  <w:bCs/>
                                  <w:sz w:val="22"/>
                                  <w:szCs w:val="22"/>
                                </w:rPr>
                                <w:t>Causas</w:t>
                              </w:r>
                            </w:p>
                          </w:txbxContent>
                        </wps:txbx>
                        <wps:bodyPr rot="0" vert="horz" wrap="square" lIns="91440" tIns="45720" rIns="91440" bIns="45720" anchor="t" anchorCtr="0" upright="1">
                          <a:noAutofit/>
                        </wps:bodyPr>
                      </wps:wsp>
                      <wps:wsp>
                        <wps:cNvPr id="202" name="Cuadro de texto 2"/>
                        <wps:cNvSpPr txBox="1">
                          <a:spLocks noChangeArrowheads="1"/>
                        </wps:cNvSpPr>
                        <wps:spPr bwMode="auto">
                          <a:xfrm>
                            <a:off x="2219675" y="36443"/>
                            <a:ext cx="717500" cy="23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B5D4C" w14:textId="77777777" w:rsidR="007A1A58" w:rsidRDefault="007A1A58" w:rsidP="00DB1A6A">
                              <w:pPr>
                                <w:pStyle w:val="NormalWeb"/>
                                <w:spacing w:after="160" w:line="254" w:lineRule="auto"/>
                                <w:jc w:val="center"/>
                              </w:pPr>
                              <w:r w:rsidRPr="00DB0F9D">
                                <w:rPr>
                                  <w:rFonts w:eastAsia="Calibri"/>
                                  <w:b/>
                                  <w:bCs/>
                                  <w:sz w:val="22"/>
                                  <w:szCs w:val="22"/>
                                </w:rPr>
                                <w:t>Efectos</w:t>
                              </w:r>
                            </w:p>
                          </w:txbxContent>
                        </wps:txbx>
                        <wps:bodyPr rot="0" vert="horz" wrap="square" lIns="91440" tIns="45720" rIns="91440" bIns="45720" anchor="t" anchorCtr="0" upright="1">
                          <a:noAutofit/>
                        </wps:bodyPr>
                      </wps:wsp>
                    </wpc:wpc>
                  </a:graphicData>
                </a:graphic>
              </wp:inline>
            </w:drawing>
          </mc:Choice>
          <mc:Fallback>
            <w:pict>
              <v:group w14:anchorId="540B47DD" id="Lienzo 203" o:spid="_x0000_s1036" editas="canvas" style="width:433.3pt;height:439.7pt;mso-position-horizontal-relative:char;mso-position-vertical-relative:line" coordsize="55029,5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">
                <v:shape id="_x0000_s1037" type="#_x0000_t75" style="position:absolute;width:55029;height:55835;visibility:visible;mso-wrap-style:square">
                  <v:fill o:detectmouseclick="t"/>
                  <v:path o:connecttype="none"/>
                </v:shape>
                <v:shape id="_x0000_s1038" type="#_x0000_t202" style="position:absolute;left:7947;top:22038;width:38639;height: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" strokecolor="#4f81bd" strokeweight="1pt">
                  <v:shadow on="t" color="black" opacity="26213f" origin="-.5,-.5" offset=".74836mm,.74836mm"/>
                  <v:textbox>
                    <w:txbxContent>
                      <w:p w14:paraId="7A02FC45" w14:textId="77777777" w:rsidR="007A1A58" w:rsidRDefault="007A1A58" w:rsidP="00DB1A6A">
                        <w:pPr>
                          <w:pStyle w:val="NormalWeb"/>
                          <w:spacing w:line="254" w:lineRule="auto"/>
                          <w:jc w:val="center"/>
                          <w:rPr>
                            <w:sz w:val="22"/>
                          </w:rPr>
                        </w:pPr>
                        <w:r>
                          <w:rPr>
                            <w:rFonts w:eastAsia="MS Mincho"/>
                            <w:sz w:val="18"/>
                            <w:szCs w:val="20"/>
                          </w:rPr>
                          <w:t>Las entidades y dependencias de la Administración Pública Federal cuentan con bajas capacidades</w:t>
                        </w:r>
                        <w:r>
                          <w:rPr>
                            <w:rFonts w:eastAsia="MS Mincho"/>
                            <w:b/>
                            <w:bCs/>
                            <w:sz w:val="18"/>
                            <w:szCs w:val="20"/>
                          </w:rPr>
                          <w:t xml:space="preserve"> —referidas a la generación y uso de conocimiento— en Ciencia, Tecnología e Innovación (CTI)</w:t>
                        </w:r>
                        <w:r>
                          <w:rPr>
                            <w:rFonts w:eastAsia="MS Mincho"/>
                            <w:sz w:val="18"/>
                            <w:szCs w:val="20"/>
                          </w:rPr>
                          <w:t xml:space="preserve"> para atender las demandas públicas y sus obligaciones legalmente estipuladas.</w:t>
                        </w:r>
                      </w:p>
                    </w:txbxContent>
                  </v:textbox>
                </v:shape>
                <v:shape id="_x0000_s1039" type="#_x0000_t202" style="position:absolute;left:28158;top:12119;width:12377;height:7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" strokecolor="#4f81bd" strokeweight="1pt">
                  <v:shadow on="t" color="black" opacity="26213f" origin="-.5,-.5" offset=".74836mm,.74836mm"/>
                  <v:textbox>
                    <w:txbxContent>
                      <w:p w14:paraId="5F94D422" w14:textId="77777777" w:rsidR="007A1A58" w:rsidRPr="00877141" w:rsidRDefault="007A1A58" w:rsidP="00DB1A6A">
                        <w:pPr>
                          <w:pStyle w:val="NormalWeb"/>
                          <w:spacing w:line="254" w:lineRule="auto"/>
                          <w:jc w:val="center"/>
                          <w:rPr>
                            <w:sz w:val="16"/>
                            <w:szCs w:val="16"/>
                          </w:rPr>
                        </w:pPr>
                        <w:r w:rsidRPr="006A6562">
                          <w:rPr>
                            <w:rFonts w:eastAsia="Calibri"/>
                            <w:sz w:val="16"/>
                            <w:szCs w:val="16"/>
                          </w:rPr>
                          <w:t>Alta dependencia de los recursos gubernamentales para la realización de actividades en IDTI.</w:t>
                        </w:r>
                      </w:p>
                    </w:txbxContent>
                  </v:textbox>
                </v:shape>
                <v:shape id="_x0000_s1040" type="#_x0000_t202" style="position:absolute;left:1116;top:12119;width:12376;height:7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" strokecolor="#4f81bd" strokeweight="1pt">
                  <v:shadow on="t" color="black" opacity="26213f" origin="-.5,-.5" offset=".74836mm,.74836mm"/>
                  <v:textbox>
                    <w:txbxContent>
                      <w:p w14:paraId="6B9AF9EF" w14:textId="77777777" w:rsidR="007A1A58" w:rsidRDefault="007A1A58" w:rsidP="00DB1A6A">
                        <w:pPr>
                          <w:pStyle w:val="NormalWeb"/>
                          <w:spacing w:line="254" w:lineRule="auto"/>
                          <w:jc w:val="center"/>
                        </w:pPr>
                        <w:r>
                          <w:rPr>
                            <w:rFonts w:eastAsia="Calibri"/>
                            <w:sz w:val="16"/>
                            <w:szCs w:val="16"/>
                          </w:rPr>
                          <w:t>Existe rezago científico y tecnológico en los sectores para la atención de las necesidades de los sectores de la APF.</w:t>
                        </w:r>
                      </w:p>
                    </w:txbxContent>
                  </v:textbox>
                </v:shape>
                <v:shape id="_x0000_s1041" type="#_x0000_t202" style="position:absolute;left:14684;top:12119;width:12376;height:7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" strokecolor="#4f81bd" strokeweight="1pt">
                  <v:shadow on="t" color="black" opacity="26213f" origin="-.5,-.5" offset=".74836mm,.74836mm"/>
                  <v:textbox>
                    <w:txbxContent>
                      <w:p w14:paraId="33734102" w14:textId="77777777" w:rsidR="007A1A58" w:rsidRDefault="007A1A58" w:rsidP="00DB1A6A">
                        <w:pPr>
                          <w:pStyle w:val="NormalWeb"/>
                          <w:spacing w:line="254" w:lineRule="auto"/>
                          <w:jc w:val="center"/>
                          <w:rPr>
                            <w:sz w:val="17"/>
                            <w:szCs w:val="17"/>
                          </w:rPr>
                        </w:pPr>
                        <w:r w:rsidRPr="00877141">
                          <w:rPr>
                            <w:rFonts w:eastAsia="Calibri"/>
                            <w:sz w:val="16"/>
                            <w:szCs w:val="16"/>
                          </w:rPr>
                          <w:t>Los sectores tienen alta dependencia tecnológica de terceros fuera del país</w:t>
                        </w:r>
                        <w:r>
                          <w:rPr>
                            <w:rFonts w:eastAsia="Calibri"/>
                            <w:sz w:val="16"/>
                            <w:szCs w:val="16"/>
                          </w:rPr>
                          <w:t>.</w:t>
                        </w:r>
                        <w:r w:rsidRPr="00877141">
                          <w:rPr>
                            <w:rFonts w:eastAsia="Calibri"/>
                            <w:sz w:val="16"/>
                            <w:szCs w:val="16"/>
                          </w:rPr>
                          <w:t xml:space="preserve"> </w:t>
                        </w:r>
                        <w:r>
                          <w:rPr>
                            <w:rFonts w:eastAsia="Calibri"/>
                            <w:sz w:val="16"/>
                            <w:szCs w:val="16"/>
                          </w:rPr>
                          <w:t xml:space="preserve">Pobre </w:t>
                        </w:r>
                        <w:r w:rsidRPr="00877141">
                          <w:rPr>
                            <w:rFonts w:eastAsia="Calibri"/>
                            <w:sz w:val="16"/>
                            <w:szCs w:val="16"/>
                          </w:rPr>
                          <w:t xml:space="preserve">desarrollo y crecimiento </w:t>
                        </w:r>
                        <w:r w:rsidRPr="007C46BD">
                          <w:rPr>
                            <w:rFonts w:eastAsia="Calibri"/>
                            <w:sz w:val="16"/>
                            <w:szCs w:val="16"/>
                          </w:rPr>
                          <w:t>empresarial</w:t>
                        </w:r>
                        <w:r>
                          <w:rPr>
                            <w:rFonts w:eastAsia="Calibri"/>
                            <w:sz w:val="17"/>
                            <w:szCs w:val="17"/>
                          </w:rPr>
                          <w:t>.</w:t>
                        </w:r>
                      </w:p>
                    </w:txbxContent>
                  </v:textbox>
                </v:shape>
                <v:shape id="_x0000_s1042" type="#_x0000_t202" style="position:absolute;left:368;top:3137;width:53703;height:557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" strokecolor="#4f81bd" strokeweight="1pt">
                  <v:shadow on="t" color="black" opacity="26213f" origin="-.5,-.5" offset=".74836mm,.74836mm"/>
                  <v:textbox>
                    <w:txbxContent>
                      <w:p w14:paraId="6791B4E1" w14:textId="77777777" w:rsidR="007A1A58" w:rsidRDefault="007A1A58" w:rsidP="00DB1A6A">
                        <w:pPr>
                          <w:pStyle w:val="NormalWeb"/>
                          <w:spacing w:line="254" w:lineRule="auto"/>
                          <w:jc w:val="center"/>
                        </w:pPr>
                        <w:r>
                          <w:rPr>
                            <w:rFonts w:eastAsia="Calibri"/>
                            <w:sz w:val="18"/>
                            <w:szCs w:val="18"/>
                          </w:rPr>
                          <w:t>Se presentan esfuerzos desarticulados e insuficientes para desarrollar actividades de IDTI entre los sectores, trayendo poca contribución al impulso de la educación científica y tecnológica como elemento indispensable para la transformación de México en una sociedad del conocimiento.</w:t>
                        </w:r>
                      </w:p>
                    </w:txbxContent>
                  </v:textbox>
                </v:shape>
                <v:shape id="_x0000_s1043" type="#_x0000_t202" style="position:absolute;left:93;top:32331;width:16968;height:9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" strokecolor="#4f81bd" strokeweight="1pt">
                  <v:shadow on="t" color="black" opacity="26213f" origin="-.5,-.5" offset=".74836mm,.74836mm"/>
                  <v:textbox>
                    <w:txbxContent>
                      <w:p w14:paraId="5BD4FCB2" w14:textId="77777777" w:rsidR="007A1A58" w:rsidRDefault="007A1A58" w:rsidP="00DB1A6A">
                        <w:pPr>
                          <w:pStyle w:val="NormalWeb"/>
                          <w:spacing w:line="254" w:lineRule="auto"/>
                          <w:jc w:val="center"/>
                          <w:rPr>
                            <w:sz w:val="17"/>
                            <w:szCs w:val="17"/>
                          </w:rPr>
                        </w:pPr>
                        <w:r>
                          <w:rPr>
                            <w:rFonts w:eastAsia="Calibri"/>
                            <w:sz w:val="17"/>
                            <w:szCs w:val="17"/>
                          </w:rPr>
                          <w:t>Bajos niveles de participación del sector privado como fuente de financiamiento para actividades destinadas a IDTI.</w:t>
                        </w:r>
                      </w:p>
                    </w:txbxContent>
                  </v:textbox>
                </v:shape>
                <v:shape id="_x0000_s1044" type="#_x0000_t202" style="position:absolute;left:18798;top:32331;width:16967;height:9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" strokecolor="#4f81bd" strokeweight="1pt">
                  <v:shadow on="t" color="black" opacity="26213f" origin="-.5,-.5" offset=".74836mm,.74836mm"/>
                  <v:textbox>
                    <w:txbxContent>
                      <w:p w14:paraId="14EF1428" w14:textId="77777777" w:rsidR="007A1A58" w:rsidRDefault="007A1A58" w:rsidP="00DB1A6A">
                        <w:pPr>
                          <w:pStyle w:val="NormalWeb"/>
                          <w:spacing w:line="254" w:lineRule="auto"/>
                          <w:jc w:val="center"/>
                          <w:rPr>
                            <w:sz w:val="17"/>
                            <w:szCs w:val="17"/>
                          </w:rPr>
                        </w:pPr>
                        <w:r>
                          <w:rPr>
                            <w:rFonts w:eastAsia="Calibri"/>
                            <w:sz w:val="17"/>
                            <w:szCs w:val="17"/>
                          </w:rPr>
                          <w:t>Los Sectores de la APF no cuentan con recursos financieros, técnicos y de infraestructura suficientes para sostener un sistema y realizar actividades de IDTI por sector.</w:t>
                        </w:r>
                      </w:p>
                    </w:txbxContent>
                  </v:textbox>
                </v:shape>
                <v:shape id="_x0000_s1045" type="#_x0000_t202" style="position:absolute;left:37796;top:32424;width:16968;height: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" strokecolor="#4f81bd" strokeweight="1pt">
                  <v:shadow on="t" color="black" opacity="26213f" origin="-.5,-.5" offset=".74836mm,.74836mm"/>
                  <v:textbox>
                    <w:txbxContent>
                      <w:p w14:paraId="32E4EDB1" w14:textId="77777777" w:rsidR="007A1A58" w:rsidRDefault="007A1A58" w:rsidP="00DB1A6A">
                        <w:pPr>
                          <w:pStyle w:val="NormalWeb"/>
                          <w:spacing w:line="254" w:lineRule="auto"/>
                          <w:jc w:val="center"/>
                        </w:pPr>
                        <w:r>
                          <w:rPr>
                            <w:rFonts w:eastAsia="Calibri"/>
                            <w:sz w:val="16"/>
                            <w:szCs w:val="16"/>
                          </w:rPr>
                          <w:t>Vinculación desarticulada entre los Sectores de la APF, el sector privado, las Universidades y los Centros de investigación para concentrar esfuerzos en infraestructura y recursos humanos especializados en IDTI.</w:t>
                        </w:r>
                      </w:p>
                    </w:txbxContent>
                  </v:textbox>
                </v:shape>
                <v:shape id="_x0000_s1046" type="#_x0000_t202" style="position:absolute;left:18794;top:44682;width:16968;height:7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" strokecolor="#4f81bd" strokeweight="1pt">
                  <v:shadow on="t" color="black" opacity="26213f" origin="-.5,-.5" offset=".74836mm,.74836mm"/>
                  <v:textbox>
                    <w:txbxContent>
                      <w:p w14:paraId="137F6AC2" w14:textId="77777777" w:rsidR="007A1A58" w:rsidRDefault="007A1A58" w:rsidP="00DB1A6A">
                        <w:pPr>
                          <w:pStyle w:val="NormalWeb"/>
                          <w:spacing w:line="254" w:lineRule="auto"/>
                          <w:jc w:val="center"/>
                          <w:rPr>
                            <w:sz w:val="16"/>
                            <w:szCs w:val="16"/>
                          </w:rPr>
                        </w:pPr>
                        <w:r>
                          <w:rPr>
                            <w:rFonts w:eastAsia="Calibri"/>
                            <w:sz w:val="16"/>
                            <w:szCs w:val="16"/>
                          </w:rPr>
                          <w:t>Limitadas redes para la articulación, aprovechamiento e impulso de las actividades en IDTI entre los sectores de la APF con otros actores.</w:t>
                        </w:r>
                      </w:p>
                    </w:txbxContent>
                  </v:textbox>
                </v:shape>
                <v:shape id="_x0000_s1047" type="#_x0000_t202" style="position:absolute;left:95;top:44682;width:16967;height:7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" strokecolor="#4f81bd" strokeweight="1pt">
                  <v:shadow on="t" color="black" opacity="26213f" origin="-.5,-.5" offset=".74836mm,.74836mm"/>
                  <v:textbox>
                    <w:txbxContent>
                      <w:p w14:paraId="1A2F4495" w14:textId="77777777" w:rsidR="007A1A58" w:rsidRDefault="007A1A58" w:rsidP="00DB1A6A">
                        <w:pPr>
                          <w:pStyle w:val="NormalWeb"/>
                          <w:spacing w:line="254" w:lineRule="auto"/>
                          <w:jc w:val="center"/>
                          <w:rPr>
                            <w:sz w:val="17"/>
                            <w:szCs w:val="17"/>
                          </w:rPr>
                        </w:pPr>
                        <w:r>
                          <w:rPr>
                            <w:rFonts w:eastAsia="Calibri"/>
                            <w:sz w:val="17"/>
                            <w:szCs w:val="17"/>
                          </w:rPr>
                          <w:t>Los procesos de desarrollo e innovación implican altos costos o bajas utilidades que desincentivan la participación del sector privado.</w:t>
                        </w:r>
                      </w:p>
                    </w:txbxContent>
                  </v:textbox>
                </v:shape>
                <v:shape id="_x0000_s1048" type="#_x0000_t202" style="position:absolute;left:37794;top:44682;width:16974;height:7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" strokecolor="#4f81bd" strokeweight="1pt">
                  <v:shadow on="t" color="black" opacity="26213f" origin="-.5,-.5" offset=".74836mm,.74836mm"/>
                  <v:textbox>
                    <w:txbxContent>
                      <w:p w14:paraId="2266D322" w14:textId="77777777" w:rsidR="007A1A58" w:rsidRDefault="007A1A58" w:rsidP="00DB1A6A">
                        <w:pPr>
                          <w:pStyle w:val="NormalWeb"/>
                          <w:spacing w:after="160" w:line="254" w:lineRule="auto"/>
                          <w:jc w:val="center"/>
                          <w:rPr>
                            <w:sz w:val="17"/>
                            <w:szCs w:val="17"/>
                          </w:rPr>
                        </w:pPr>
                        <w:r>
                          <w:rPr>
                            <w:rFonts w:eastAsia="Calibri"/>
                            <w:sz w:val="17"/>
                            <w:szCs w:val="17"/>
                          </w:rPr>
                          <w:t>Insuficientes acuerdos entre los Sectores de la APF con CONACYT en la atención de las demandas en IDTI.</w:t>
                        </w:r>
                      </w:p>
                    </w:txbxContent>
                  </v:textbox>
                </v:shape>
                <v:shape id="_x0000_s1049" type="#_x0000_t202" style="position:absolute;left:41539;top:12119;width:12370;height:7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" strokecolor="#4f81bd" strokeweight="1pt">
                  <v:shadow on="t" color="black" opacity="26213f" origin="-.5,-.5" offset=".74836mm,.74836mm"/>
                  <v:textbox>
                    <w:txbxContent>
                      <w:p w14:paraId="5DBE925F" w14:textId="77777777" w:rsidR="007A1A58" w:rsidRDefault="007A1A58" w:rsidP="00DB1A6A">
                        <w:pPr>
                          <w:pStyle w:val="NormalWeb"/>
                          <w:spacing w:line="254" w:lineRule="auto"/>
                          <w:jc w:val="center"/>
                        </w:pPr>
                        <w:r>
                          <w:rPr>
                            <w:rFonts w:eastAsia="Calibri"/>
                            <w:sz w:val="16"/>
                            <w:szCs w:val="16"/>
                          </w:rPr>
                          <w:t>Desaprovechamiento y dispersión de capacidades en ciencia, tecnología e innovación instalada.</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01" o:spid="_x0000_s1050" type="#_x0000_t34" style="position:absolute;left:15556;top:454;width:3412;height:1991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" strokecolor="#4f81bd" strokeweight=".5pt">
                  <v:stroke endarrow="block"/>
                </v:shape>
                <v:shape id="Conector angular 202" o:spid="_x0000_s1051" type="#_x0000_t34" style="position:absolute;left:22340;top:7238;width:3412;height:634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" strokecolor="#4f81bd" strokeweight=".5pt">
                  <v:stroke endarrow="block"/>
                </v:shape>
                <v:shape id="Conector angular 203" o:spid="_x0000_s1052" type="#_x0000_t34" style="position:absolute;left:29077;top:6848;width:3412;height:712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" strokecolor="#4f81bd" strokeweight=".5pt">
                  <v:stroke endarrow="block"/>
                </v:shape>
                <v:shape id="Conector angular 204" o:spid="_x0000_s1053" type="#_x0000_t34" style="position:absolute;left:35766;top:159;width:3412;height:2050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" strokecolor="#4f81bd" strokeweight=".5pt">
                  <v:stroke endarrow="block"/>
                </v:shape>
                <v:shape id="Conector angular 1" o:spid="_x0000_s1054" type="#_x0000_t34" style="position:absolute;left:15858;top:10632;width:2851;height:1996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" strokecolor="#4f81bd" strokeweight=".5pt">
                  <v:stroke endarrow="block"/>
                </v:shape>
                <v:shape id="Conector angular 15" o:spid="_x0000_s1055" type="#_x0000_t34" style="position:absolute;left:22469;top:17241;width:3200;height:639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" strokecolor="#4f81bd" strokeweight=".5pt">
                  <v:stroke endarrow="block"/>
                </v:shape>
                <v:shape id="Conector angular 16" o:spid="_x0000_s1056" type="#_x0000_t34" style="position:absolute;left:29380;top:17073;width:2851;height:708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" strokecolor="#4f81bd" strokeweight=".5pt">
                  <v:stroke endarrow="block"/>
                </v:shape>
                <v:shape id="Conector angular 17" o:spid="_x0000_s1057" type="#_x0000_t34" style="position:absolute;left:36068;top:10384;width:2851;height:2045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" strokecolor="#4f81bd" strokeweight=".5pt">
                  <v:stroke endarrow="block"/>
                </v:shape>
                <v:shape id="Conector angular 18" o:spid="_x0000_s1058" type="#_x0000_t34" style="position:absolute;left:16284;top:21349;width:3275;height:1868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" strokecolor="#4f81bd" strokeweight=".5pt">
                  <v:stroke endarrow="block"/>
                </v:shape>
                <v:shape id="Conector angular 20" o:spid="_x0000_s1059" type="#_x0000_t34" style="position:absolute;left:35089;top:21233;width:3368;height:190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" strokecolor="#4f81bd" strokeweight=".5pt">
                  <v:stroke endarrow="block"/>
                </v:shape>
                <v:shapetype id="_x0000_t32" coordsize="21600,21600" o:spt="32" o:oned="t" path="m,l21600,21600e" filled="f">
                  <v:path arrowok="t" fillok="f" o:connecttype="none"/>
                  <o:lock v:ext="edit" shapetype="t"/>
                </v:shapetype>
                <v:shape id="Conector recto de flecha 23" o:spid="_x0000_s1060" type="#_x0000_t32" style="position:absolute;left:46280;top:41969;width:1;height:27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" strokecolor="#4f81bd" strokeweight=".5pt">
                  <v:stroke endarrow="block" joinstyle="miter"/>
                </v:shape>
                <v:shape id="Conector recto de flecha 24" o:spid="_x0000_s1061" type="#_x0000_t32" style="position:absolute;left:27278;top:41875;width:4;height:28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" strokecolor="#4f81bd" strokeweight=".5pt">
                  <v:stroke endarrow="block" joinstyle="miter"/>
                </v:shape>
                <v:shape id="Conector recto de flecha 25" o:spid="_x0000_s1062" type="#_x0000_t32" style="position:absolute;left:8577;top:41875;width:2;height:28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" strokecolor="#4f81bd" strokeweight=".5pt">
                  <v:stroke endarrow="block" joinstyle="miter"/>
                </v:shape>
                <v:shape id="Conector recto de flecha 26" o:spid="_x0000_s1063" type="#_x0000_t32" style="position:absolute;left:27266;top:29056;width:16;height:32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" strokecolor="#4f81bd" strokeweight=".5pt">
                  <v:stroke endarrow="block" joinstyle="miter"/>
                </v:shape>
                <v:shape id="_x0000_s1064" type="#_x0000_t202" style="position:absolute;left:22751;top:53514;width:717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14:paraId="73022A3D" w14:textId="77777777" w:rsidR="007A1A58" w:rsidRDefault="007A1A58" w:rsidP="00DB1A6A">
                        <w:pPr>
                          <w:pStyle w:val="NormalWeb"/>
                          <w:spacing w:after="160" w:line="254" w:lineRule="auto"/>
                          <w:jc w:val="center"/>
                        </w:pPr>
                        <w:r w:rsidRPr="00DB0F9D">
                          <w:rPr>
                            <w:rFonts w:eastAsia="Calibri"/>
                            <w:b/>
                            <w:bCs/>
                            <w:sz w:val="22"/>
                            <w:szCs w:val="22"/>
                          </w:rPr>
                          <w:t>Causas</w:t>
                        </w:r>
                      </w:p>
                    </w:txbxContent>
                  </v:textbox>
                </v:shape>
                <v:shape id="_x0000_s1065" type="#_x0000_t202" style="position:absolute;left:22196;top:364;width:7175;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351B5D4C" w14:textId="77777777" w:rsidR="007A1A58" w:rsidRDefault="007A1A58" w:rsidP="00DB1A6A">
                        <w:pPr>
                          <w:pStyle w:val="NormalWeb"/>
                          <w:spacing w:after="160" w:line="254" w:lineRule="auto"/>
                          <w:jc w:val="center"/>
                        </w:pPr>
                        <w:r w:rsidRPr="00DB0F9D">
                          <w:rPr>
                            <w:rFonts w:eastAsia="Calibri"/>
                            <w:b/>
                            <w:bCs/>
                            <w:sz w:val="22"/>
                            <w:szCs w:val="22"/>
                          </w:rPr>
                          <w:t>Efectos</w:t>
                        </w:r>
                      </w:p>
                    </w:txbxContent>
                  </v:textbox>
                </v:shape>
                <w10:anchorlock/>
              </v:group>
            </w:pict>
          </mc:Fallback>
        </mc:AlternateContent>
      </w:r>
    </w:p>
    <w:p w14:paraId="39E2C419" w14:textId="77777777" w:rsidR="00DB1A6A" w:rsidRDefault="00DB1A6A" w:rsidP="007C2077">
      <w:pPr>
        <w:spacing w:line="360" w:lineRule="auto"/>
        <w:jc w:val="both"/>
        <w:rPr>
          <w:rFonts w:ascii="Times New Roman" w:eastAsia="MS Mincho" w:hAnsi="Times New Roman" w:cs="Times New Roman"/>
        </w:rPr>
      </w:pPr>
    </w:p>
    <w:p w14:paraId="57136C97" w14:textId="62E6589F" w:rsidR="007C2077" w:rsidRPr="007C2077" w:rsidRDefault="007C2077" w:rsidP="007C2077">
      <w:pPr>
        <w:spacing w:line="360" w:lineRule="auto"/>
        <w:jc w:val="both"/>
        <w:rPr>
          <w:rFonts w:ascii="Times New Roman" w:eastAsia="MS Mincho" w:hAnsi="Times New Roman" w:cs="Times New Roman"/>
        </w:rPr>
      </w:pPr>
      <w:r w:rsidRPr="007C2077">
        <w:rPr>
          <w:rFonts w:ascii="Times New Roman" w:eastAsia="MS Mincho" w:hAnsi="Times New Roman" w:cs="Times New Roman"/>
        </w:rPr>
        <w:lastRenderedPageBreak/>
        <w:t>Como se ha mencionado arriba, el problema consiste en que</w:t>
      </w:r>
      <w:r w:rsidR="00C806EF">
        <w:rPr>
          <w:rFonts w:ascii="Times New Roman" w:eastAsia="MS Mincho" w:hAnsi="Times New Roman" w:cs="Times New Roman"/>
        </w:rPr>
        <w:t xml:space="preserve"> las</w:t>
      </w:r>
      <w:r w:rsidRPr="007C2077">
        <w:rPr>
          <w:rFonts w:ascii="Times New Roman" w:eastAsia="MS Mincho" w:hAnsi="Times New Roman" w:cs="Times New Roman"/>
        </w:rPr>
        <w:t xml:space="preserve"> </w:t>
      </w:r>
      <w:r w:rsidR="00C806EF" w:rsidRPr="00C806EF">
        <w:rPr>
          <w:rFonts w:ascii="Times New Roman" w:eastAsia="MS Mincho" w:hAnsi="Times New Roman" w:cs="Times New Roman"/>
        </w:rPr>
        <w:t>entidades y dependencias de</w:t>
      </w:r>
      <w:r w:rsidR="00C806EF">
        <w:rPr>
          <w:rFonts w:ascii="Times New Roman" w:eastAsia="MS Mincho" w:hAnsi="Times New Roman" w:cs="Times New Roman"/>
        </w:rPr>
        <w:t xml:space="preserve"> la</w:t>
      </w:r>
      <w:r w:rsidR="00C806EF" w:rsidRPr="00C806EF">
        <w:rPr>
          <w:rFonts w:ascii="Times New Roman" w:eastAsia="MS Mincho" w:hAnsi="Times New Roman" w:cs="Times New Roman"/>
        </w:rPr>
        <w:t xml:space="preserve"> </w:t>
      </w:r>
      <w:r w:rsidRPr="007C2077">
        <w:rPr>
          <w:rFonts w:ascii="Times New Roman" w:eastAsia="MS Mincho" w:hAnsi="Times New Roman" w:cs="Times New Roman"/>
        </w:rPr>
        <w:t xml:space="preserve">APF </w:t>
      </w:r>
      <w:r w:rsidRPr="007C2077">
        <w:rPr>
          <w:rFonts w:ascii="Times New Roman" w:eastAsia="MS Mincho" w:hAnsi="Times New Roman" w:cs="Times New Roman"/>
          <w:b/>
        </w:rPr>
        <w:t>cuentan con bajas capacidades —referidas a la generación y uso de conocimiento— en Ciencia, Tecnología e Innovación (CTI)</w:t>
      </w:r>
      <w:r w:rsidRPr="007C2077">
        <w:rPr>
          <w:rFonts w:ascii="Times New Roman" w:eastAsia="MS Mincho" w:hAnsi="Times New Roman" w:cs="Times New Roman"/>
        </w:rPr>
        <w:t xml:space="preserve"> para atender las demandas públicas y sus obligaciones legalmente estipuladas. El problema tiene sus antecedentes con los bajos niveles de participación y de volumen de las fuentes de financiamientos distintas de la APF destinadas a actividades de CTI. Añádase la poca vinculación y redes entre los sectoriales de la APF con </w:t>
      </w:r>
      <w:r w:rsidR="008922A3">
        <w:rPr>
          <w:rFonts w:ascii="Times New Roman" w:eastAsia="MS Mincho" w:hAnsi="Times New Roman" w:cs="Times New Roman"/>
        </w:rPr>
        <w:t>CONACYT</w:t>
      </w:r>
      <w:r w:rsidRPr="007C2077">
        <w:rPr>
          <w:rFonts w:ascii="Times New Roman" w:eastAsia="MS Mincho" w:hAnsi="Times New Roman" w:cs="Times New Roman"/>
        </w:rPr>
        <w:t>, las Universidades, los Centros de Investigación y el ámbito privado que permita concentrar esfuerzos para atender los problemas que requieran un enfoque en CTI.</w:t>
      </w:r>
    </w:p>
    <w:p w14:paraId="1F39C6CE" w14:textId="77777777" w:rsidR="007C2077" w:rsidRPr="007C2077" w:rsidRDefault="007C2077" w:rsidP="007C2077">
      <w:pPr>
        <w:spacing w:line="360" w:lineRule="auto"/>
        <w:jc w:val="both"/>
        <w:rPr>
          <w:rFonts w:ascii="Times New Roman" w:eastAsia="MS Mincho" w:hAnsi="Times New Roman" w:cs="Times New Roman"/>
          <w:b/>
        </w:rPr>
      </w:pPr>
    </w:p>
    <w:p w14:paraId="068CA089" w14:textId="41536EE8" w:rsidR="007C2077" w:rsidRPr="007C2077" w:rsidRDefault="007C2077" w:rsidP="007C2077">
      <w:pPr>
        <w:spacing w:line="360" w:lineRule="auto"/>
        <w:jc w:val="both"/>
        <w:rPr>
          <w:rFonts w:ascii="Times New Roman" w:eastAsia="MS Mincho" w:hAnsi="Times New Roman" w:cs="Times New Roman"/>
        </w:rPr>
      </w:pPr>
      <w:r w:rsidRPr="007C2077">
        <w:rPr>
          <w:rFonts w:ascii="Times New Roman" w:eastAsia="MS Mincho" w:hAnsi="Times New Roman" w:cs="Times New Roman"/>
        </w:rPr>
        <w:t xml:space="preserve">El hecho de que las secretarías y la APF no cuenten con las capacidades suficientes para realizar por </w:t>
      </w:r>
      <w:r w:rsidR="00C806EF" w:rsidRPr="007C2077">
        <w:rPr>
          <w:rFonts w:ascii="Times New Roman" w:eastAsia="MS Mincho" w:hAnsi="Times New Roman" w:cs="Times New Roman"/>
        </w:rPr>
        <w:t>sí</w:t>
      </w:r>
      <w:r w:rsidRPr="007C2077">
        <w:rPr>
          <w:rFonts w:ascii="Times New Roman" w:eastAsia="MS Mincho" w:hAnsi="Times New Roman" w:cs="Times New Roman"/>
        </w:rPr>
        <w:t xml:space="preserve"> mismas las actividades de investigación, desarrollo tecnológico e innovación, así como de mayores recursos, ha repercutido en la disminución de efectividad de estas organizaciones, dependencia tecnológica, así como dispersión de las capacidades en CTI ya instaladas. </w:t>
      </w:r>
    </w:p>
    <w:p w14:paraId="7EF6538A" w14:textId="659E6DEC" w:rsidR="00172A4C" w:rsidRPr="00C806EF" w:rsidRDefault="007C2077" w:rsidP="00014207">
      <w:pPr>
        <w:pStyle w:val="Ttulo3"/>
        <w:rPr>
          <w:rFonts w:ascii="Times New Roman" w:eastAsia="Times New Roman" w:hAnsi="Times New Roman" w:cs="Times New Roman"/>
          <w:b/>
          <w:iCs/>
        </w:rPr>
      </w:pPr>
      <w:bookmarkStart w:id="24" w:name="_Toc32920323"/>
      <w:r w:rsidRPr="00C806EF">
        <w:rPr>
          <w:rFonts w:ascii="Times New Roman" w:eastAsia="MS Gothic" w:hAnsi="Times New Roman" w:cs="Times New Roman"/>
          <w:b/>
          <w:iCs/>
        </w:rPr>
        <w:t>II.4.</w:t>
      </w:r>
      <w:r w:rsidR="003421EF">
        <w:rPr>
          <w:rFonts w:ascii="Times New Roman" w:eastAsia="MS Gothic" w:hAnsi="Times New Roman" w:cs="Times New Roman"/>
          <w:b/>
          <w:iCs/>
        </w:rPr>
        <w:t xml:space="preserve">1. </w:t>
      </w:r>
      <w:r w:rsidRPr="00C806EF">
        <w:rPr>
          <w:rFonts w:ascii="Times New Roman" w:eastAsia="Times New Roman" w:hAnsi="Times New Roman" w:cs="Times New Roman"/>
          <w:b/>
          <w:iCs/>
        </w:rPr>
        <w:t>Descripción de las causas del problema</w:t>
      </w:r>
      <w:bookmarkEnd w:id="24"/>
    </w:p>
    <w:p w14:paraId="4748F45A" w14:textId="77777777" w:rsidR="007C2077" w:rsidRPr="007C2077" w:rsidRDefault="007C2077" w:rsidP="00C806EF">
      <w:pPr>
        <w:spacing w:before="360" w:after="120" w:line="360" w:lineRule="auto"/>
        <w:jc w:val="both"/>
        <w:rPr>
          <w:rFonts w:ascii="Times New Roman" w:eastAsia="MS Mincho" w:hAnsi="Times New Roman" w:cs="Times New Roman"/>
        </w:rPr>
      </w:pPr>
      <w:r w:rsidRPr="007C2077">
        <w:rPr>
          <w:rFonts w:ascii="Times New Roman" w:eastAsia="MS Mincho" w:hAnsi="Times New Roman" w:cs="Times New Roman"/>
        </w:rPr>
        <w:t>En el país, las dependencias y entidades de la APF cuentan con bajos niveles de inversión en IDTI comparado con otros países de la OCDE. Las gráficas siguientes ilustran los volúmenes del presupuesto gubernamental anual dedicado a investigación y desarrollo entre países. México está por debajo de Estados Unidos, Reino Unido, Canadá o Japón.</w:t>
      </w:r>
    </w:p>
    <w:p w14:paraId="54D300AD" w14:textId="77777777" w:rsidR="007C2077" w:rsidRPr="007C2077" w:rsidRDefault="007C2077" w:rsidP="007C2077">
      <w:pPr>
        <w:spacing w:line="360" w:lineRule="auto"/>
        <w:jc w:val="both"/>
        <w:rPr>
          <w:rFonts w:ascii="Times New Roman" w:eastAsia="MS Mincho" w:hAnsi="Times New Roman" w:cs="Times New Roman"/>
        </w:rPr>
      </w:pPr>
    </w:p>
    <w:p w14:paraId="3DCDE0D6" w14:textId="77777777" w:rsidR="007C2077" w:rsidRPr="007C2077" w:rsidRDefault="007C2077" w:rsidP="007C2077">
      <w:pPr>
        <w:spacing w:line="360" w:lineRule="auto"/>
        <w:jc w:val="both"/>
        <w:rPr>
          <w:rFonts w:ascii="Times New Roman" w:eastAsia="MS Mincho" w:hAnsi="Times New Roman" w:cs="Times New Roman"/>
        </w:rPr>
      </w:pPr>
    </w:p>
    <w:p w14:paraId="1E37527A" w14:textId="77777777" w:rsidR="007C2077" w:rsidRPr="007C2077" w:rsidRDefault="007C2077" w:rsidP="007C2077">
      <w:pPr>
        <w:spacing w:line="360" w:lineRule="auto"/>
        <w:jc w:val="both"/>
        <w:rPr>
          <w:rFonts w:ascii="Times New Roman" w:eastAsia="MS Mincho" w:hAnsi="Times New Roman" w:cs="Times New Roman"/>
        </w:rPr>
      </w:pPr>
    </w:p>
    <w:p w14:paraId="4B63D8E7" w14:textId="00B8B38D" w:rsidR="007C2077" w:rsidRDefault="007C2077" w:rsidP="007C2077">
      <w:pPr>
        <w:spacing w:line="360" w:lineRule="auto"/>
        <w:jc w:val="both"/>
        <w:rPr>
          <w:rFonts w:ascii="Times New Roman" w:eastAsia="MS Mincho" w:hAnsi="Times New Roman" w:cs="Times New Roman"/>
        </w:rPr>
      </w:pPr>
    </w:p>
    <w:p w14:paraId="48CCD148" w14:textId="7485A5AC" w:rsidR="0005403A" w:rsidRDefault="0005403A" w:rsidP="007C2077">
      <w:pPr>
        <w:spacing w:line="360" w:lineRule="auto"/>
        <w:jc w:val="both"/>
        <w:rPr>
          <w:rFonts w:ascii="Times New Roman" w:eastAsia="MS Mincho" w:hAnsi="Times New Roman" w:cs="Times New Roman"/>
        </w:rPr>
      </w:pPr>
    </w:p>
    <w:p w14:paraId="4631C014" w14:textId="77777777" w:rsidR="0005403A" w:rsidRPr="007C2077" w:rsidRDefault="0005403A" w:rsidP="007C2077">
      <w:pPr>
        <w:spacing w:line="360" w:lineRule="auto"/>
        <w:jc w:val="both"/>
        <w:rPr>
          <w:rFonts w:ascii="Times New Roman" w:eastAsia="MS Mincho" w:hAnsi="Times New Roman" w:cs="Times New Roman"/>
        </w:rPr>
      </w:pPr>
    </w:p>
    <w:p w14:paraId="5084F3CD" w14:textId="77777777" w:rsidR="007C2077" w:rsidRPr="007C2077" w:rsidRDefault="007C2077" w:rsidP="007C2077">
      <w:pPr>
        <w:spacing w:line="360" w:lineRule="auto"/>
        <w:jc w:val="both"/>
        <w:rPr>
          <w:rFonts w:ascii="Times New Roman" w:eastAsia="MS Mincho" w:hAnsi="Times New Roman" w:cs="Times New Roman"/>
        </w:rPr>
      </w:pPr>
    </w:p>
    <w:p w14:paraId="1789F02B" w14:textId="5130B62C" w:rsidR="007C2077" w:rsidRDefault="007C2077" w:rsidP="007C2077">
      <w:pPr>
        <w:spacing w:line="360" w:lineRule="auto"/>
        <w:jc w:val="both"/>
        <w:rPr>
          <w:rFonts w:ascii="Times New Roman" w:eastAsia="MS Mincho" w:hAnsi="Times New Roman" w:cs="Times New Roman"/>
        </w:rPr>
      </w:pPr>
    </w:p>
    <w:p w14:paraId="54C993B8" w14:textId="77777777" w:rsidR="002336F8" w:rsidRPr="007C2077" w:rsidRDefault="002336F8" w:rsidP="007C2077">
      <w:pPr>
        <w:spacing w:line="360" w:lineRule="auto"/>
        <w:jc w:val="both"/>
        <w:rPr>
          <w:rFonts w:ascii="Times New Roman" w:eastAsia="MS Mincho" w:hAnsi="Times New Roman" w:cs="Times New Roman"/>
        </w:rPr>
      </w:pPr>
    </w:p>
    <w:p w14:paraId="09CCC1A8" w14:textId="18195FA7" w:rsidR="009562DC" w:rsidRPr="00B25602" w:rsidRDefault="007C2077" w:rsidP="007C2077">
      <w:pPr>
        <w:jc w:val="center"/>
        <w:rPr>
          <w:rFonts w:ascii="Times New Roman" w:eastAsia="MS Mincho" w:hAnsi="Times New Roman" w:cs="Times New Roman"/>
          <w:b/>
          <w:bCs/>
          <w:color w:val="323E4F" w:themeColor="text2" w:themeShade="BF"/>
          <w:lang w:val="es-MX"/>
        </w:rPr>
      </w:pPr>
      <w:r w:rsidRPr="00B25602">
        <w:rPr>
          <w:rFonts w:ascii="Times New Roman" w:eastAsia="MS Mincho" w:hAnsi="Times New Roman" w:cs="Times New Roman"/>
          <w:b/>
          <w:color w:val="323E4F" w:themeColor="text2" w:themeShade="BF"/>
        </w:rPr>
        <w:lastRenderedPageBreak/>
        <w:t xml:space="preserve">Gráfica </w:t>
      </w:r>
      <w:r w:rsidR="009562DC" w:rsidRPr="00B25602">
        <w:rPr>
          <w:rFonts w:ascii="Times New Roman" w:eastAsia="MS Mincho" w:hAnsi="Times New Roman" w:cs="Times New Roman"/>
          <w:b/>
          <w:color w:val="323E4F" w:themeColor="text2" w:themeShade="BF"/>
        </w:rPr>
        <w:t>9</w:t>
      </w:r>
      <w:r w:rsidRPr="00B25602">
        <w:rPr>
          <w:rFonts w:ascii="Times New Roman" w:eastAsia="MS Mincho" w:hAnsi="Times New Roman" w:cs="Times New Roman"/>
          <w:b/>
          <w:color w:val="323E4F" w:themeColor="text2" w:themeShade="BF"/>
        </w:rPr>
        <w:t xml:space="preserve">: </w:t>
      </w:r>
      <w:r w:rsidRPr="00B25602">
        <w:rPr>
          <w:rFonts w:ascii="Times New Roman" w:eastAsia="MS Mincho" w:hAnsi="Times New Roman" w:cs="Times New Roman"/>
          <w:b/>
          <w:bCs/>
          <w:color w:val="323E4F" w:themeColor="text2" w:themeShade="BF"/>
        </w:rPr>
        <w:t xml:space="preserve">Presupuesto gubernamental para investigación y desarrollo </w:t>
      </w:r>
      <w:r w:rsidRPr="00B25602">
        <w:rPr>
          <w:rFonts w:ascii="Times New Roman" w:eastAsia="MS Mincho" w:hAnsi="Times New Roman" w:cs="Times New Roman"/>
          <w:b/>
          <w:bCs/>
          <w:color w:val="323E4F" w:themeColor="text2" w:themeShade="BF"/>
          <w:lang w:val="es-MX"/>
        </w:rPr>
        <w:t xml:space="preserve">comprometido, </w:t>
      </w:r>
    </w:p>
    <w:p w14:paraId="4323302B" w14:textId="2C1D97C9" w:rsidR="007C2077" w:rsidRPr="00B25602" w:rsidRDefault="007C2077" w:rsidP="009562DC">
      <w:pPr>
        <w:jc w:val="center"/>
        <w:rPr>
          <w:rFonts w:ascii="Times New Roman" w:eastAsia="MS Mincho" w:hAnsi="Times New Roman" w:cs="Times New Roman"/>
          <w:b/>
          <w:bCs/>
          <w:color w:val="323E4F" w:themeColor="text2" w:themeShade="BF"/>
          <w:lang w:val="en-US"/>
        </w:rPr>
      </w:pPr>
      <w:r w:rsidRPr="00B25602">
        <w:rPr>
          <w:rFonts w:ascii="Times New Roman" w:eastAsia="MS Mincho" w:hAnsi="Times New Roman" w:cs="Times New Roman"/>
          <w:b/>
          <w:bCs/>
          <w:color w:val="323E4F" w:themeColor="text2" w:themeShade="BF"/>
          <w:lang w:val="es-MX"/>
        </w:rPr>
        <w:t>países y años seleccionados</w:t>
      </w:r>
      <w:r w:rsidR="009562DC" w:rsidRPr="00B25602">
        <w:rPr>
          <w:rFonts w:ascii="Times New Roman" w:eastAsia="MS Mincho" w:hAnsi="Times New Roman" w:cs="Times New Roman"/>
          <w:b/>
          <w:bCs/>
          <w:color w:val="323E4F" w:themeColor="text2" w:themeShade="BF"/>
          <w:lang w:val="es-MX"/>
        </w:rPr>
        <w:t>.</w:t>
      </w:r>
      <w:r w:rsidR="00C806EF" w:rsidRPr="00B25602">
        <w:rPr>
          <w:rFonts w:ascii="Times New Roman" w:eastAsia="MS Mincho" w:hAnsi="Times New Roman" w:cs="Times New Roman"/>
          <w:b/>
          <w:bCs/>
          <w:noProof/>
          <w:color w:val="323E4F" w:themeColor="text2" w:themeShade="BF"/>
          <w:lang w:val="es-ES"/>
        </w:rPr>
        <mc:AlternateContent>
          <mc:Choice Requires="wpg">
            <w:drawing>
              <wp:anchor distT="0" distB="0" distL="114300" distR="114300" simplePos="0" relativeHeight="251659264" behindDoc="1" locked="0" layoutInCell="1" allowOverlap="1" wp14:anchorId="405E92C0" wp14:editId="5D5D0B10">
                <wp:simplePos x="0" y="0"/>
                <wp:positionH relativeFrom="page">
                  <wp:align>center</wp:align>
                </wp:positionH>
                <wp:positionV relativeFrom="paragraph">
                  <wp:posOffset>249555</wp:posOffset>
                </wp:positionV>
                <wp:extent cx="5753100" cy="3771900"/>
                <wp:effectExtent l="0" t="0" r="0" b="0"/>
                <wp:wrapTight wrapText="bothSides">
                  <wp:wrapPolygon edited="0">
                    <wp:start x="0" y="0"/>
                    <wp:lineTo x="0" y="21491"/>
                    <wp:lineTo x="21528" y="21491"/>
                    <wp:lineTo x="21528" y="0"/>
                    <wp:lineTo x="0" y="0"/>
                  </wp:wrapPolygon>
                </wp:wrapTight>
                <wp:docPr id="47" name="Grupo 47"/>
                <wp:cNvGraphicFramePr/>
                <a:graphic xmlns:a="http://schemas.openxmlformats.org/drawingml/2006/main">
                  <a:graphicData uri="http://schemas.microsoft.com/office/word/2010/wordprocessingGroup">
                    <wpg:wgp>
                      <wpg:cNvGrpSpPr/>
                      <wpg:grpSpPr>
                        <a:xfrm>
                          <a:off x="0" y="0"/>
                          <a:ext cx="5753100" cy="3771900"/>
                          <a:chOff x="0" y="0"/>
                          <a:chExt cx="6743700" cy="5066665"/>
                        </a:xfrm>
                      </wpg:grpSpPr>
                      <wpg:graphicFrame>
                        <wpg:cNvPr id="42" name="Gráfico 42"/>
                        <wpg:cNvFrPr/>
                        <wpg:xfrm>
                          <a:off x="0" y="0"/>
                          <a:ext cx="3362325" cy="2523490"/>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43" name="Gráfico 43"/>
                        <wpg:cNvFrPr/>
                        <wpg:xfrm>
                          <a:off x="3381375" y="0"/>
                          <a:ext cx="3362325" cy="2524124"/>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44" name="Gráfico 44"/>
                        <wpg:cNvFrPr/>
                        <wpg:xfrm>
                          <a:off x="0" y="2543175"/>
                          <a:ext cx="3362325" cy="2523490"/>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45" name="Gráfico 45"/>
                        <wpg:cNvFrPr/>
                        <wpg:xfrm>
                          <a:off x="3381375" y="2543175"/>
                          <a:ext cx="3362325" cy="2523490"/>
                        </wpg:xfrm>
                        <a:graphic>
                          <a:graphicData uri="http://schemas.openxmlformats.org/drawingml/2006/chart">
                            <c:chart xmlns:c="http://schemas.openxmlformats.org/drawingml/2006/chart" xmlns:r="http://schemas.openxmlformats.org/officeDocument/2006/relationships" r:id="rId24"/>
                          </a:graphicData>
                        </a:graphic>
                      </wpg:graphicFrame>
                    </wpg:wgp>
                  </a:graphicData>
                </a:graphic>
                <wp14:sizeRelH relativeFrom="margin">
                  <wp14:pctWidth>0</wp14:pctWidth>
                </wp14:sizeRelH>
                <wp14:sizeRelV relativeFrom="margin">
                  <wp14:pctHeight>0</wp14:pctHeight>
                </wp14:sizeRelV>
              </wp:anchor>
            </w:drawing>
          </mc:Choice>
          <mc:Fallback>
            <w:pict>
              <v:group w14:anchorId="139B9A5B" id="Grupo 47" o:spid="_x0000_s1026" style="position:absolute;margin-left:0;margin-top:19.65pt;width:453pt;height:297pt;z-index:-251657216;mso-position-horizontal:center;mso-position-horizontal-relative:page;mso-width-relative:margin;mso-height-relative:margin" coordsize="67437,50666" o:gfxdata="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">
                <v:shape id="Gráfico 42" o:spid="_x0000_s1027" type="#_x0000_t75" style="position:absolute;left:-71;top:-81;width:33798;height:25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">
                  <v:imagedata r:id="rId25" o:title=""/>
                  <o:lock v:ext="edit" aspectratio="f"/>
                </v:shape>
                <v:shape id="Gráfico 43" o:spid="_x0000_s1028" type="#_x0000_t75" style="position:absolute;left:33727;top:-81;width:33799;height:25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">
                  <v:imagedata r:id="rId26" o:title=""/>
                  <o:lock v:ext="edit" aspectratio="f"/>
                </v:shape>
                <v:shape id="Gráfico 44" o:spid="_x0000_s1029" type="#_x0000_t75" style="position:absolute;left:-71;top:25384;width:33798;height:25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">
                  <v:imagedata r:id="rId27" o:title=""/>
                  <o:lock v:ext="edit" aspectratio="f"/>
                </v:shape>
                <v:shape id="Gráfico 45" o:spid="_x0000_s1030" type="#_x0000_t75" style="position:absolute;left:33727;top:25384;width:33799;height:25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">
                  <v:imagedata r:id="rId28" o:title=""/>
                  <o:lock v:ext="edit" aspectratio="f"/>
                </v:shape>
                <w10:wrap type="tight" anchorx="page"/>
              </v:group>
            </w:pict>
          </mc:Fallback>
        </mc:AlternateContent>
      </w:r>
      <w:r w:rsidR="009562DC" w:rsidRPr="00B25602">
        <w:rPr>
          <w:rFonts w:ascii="Times New Roman" w:eastAsia="MS Mincho" w:hAnsi="Times New Roman" w:cs="Times New Roman"/>
          <w:b/>
          <w:bCs/>
          <w:color w:val="323E4F" w:themeColor="text2" w:themeShade="BF"/>
          <w:lang w:val="es-MX"/>
        </w:rPr>
        <w:t xml:space="preserve"> </w:t>
      </w:r>
      <w:r w:rsidRPr="00B25602">
        <w:rPr>
          <w:rFonts w:ascii="Times New Roman" w:eastAsia="MS Mincho" w:hAnsi="Times New Roman" w:cs="Times New Roman"/>
          <w:b/>
          <w:bCs/>
          <w:color w:val="323E4F" w:themeColor="text2" w:themeShade="BF"/>
          <w:lang w:val="en-US"/>
        </w:rPr>
        <w:t>(</w:t>
      </w:r>
      <w:proofErr w:type="spellStart"/>
      <w:r w:rsidRPr="00B25602">
        <w:rPr>
          <w:rFonts w:ascii="Times New Roman" w:eastAsia="MS Mincho" w:hAnsi="Times New Roman" w:cs="Times New Roman"/>
          <w:b/>
          <w:bCs/>
          <w:color w:val="323E4F" w:themeColor="text2" w:themeShade="BF"/>
          <w:lang w:val="en-US"/>
        </w:rPr>
        <w:t>Millones</w:t>
      </w:r>
      <w:proofErr w:type="spellEnd"/>
      <w:r w:rsidRPr="00B25602">
        <w:rPr>
          <w:rFonts w:ascii="Times New Roman" w:eastAsia="MS Mincho" w:hAnsi="Times New Roman" w:cs="Times New Roman"/>
          <w:b/>
          <w:bCs/>
          <w:color w:val="323E4F" w:themeColor="text2" w:themeShade="BF"/>
          <w:lang w:val="en-US"/>
        </w:rPr>
        <w:t xml:space="preserve"> de </w:t>
      </w:r>
      <w:proofErr w:type="spellStart"/>
      <w:r w:rsidRPr="00B25602">
        <w:rPr>
          <w:rFonts w:ascii="Times New Roman" w:eastAsia="MS Mincho" w:hAnsi="Times New Roman" w:cs="Times New Roman"/>
          <w:b/>
          <w:bCs/>
          <w:color w:val="323E4F" w:themeColor="text2" w:themeShade="BF"/>
          <w:lang w:val="en-US"/>
        </w:rPr>
        <w:t>dólares</w:t>
      </w:r>
      <w:proofErr w:type="spellEnd"/>
      <w:r w:rsidRPr="00B25602">
        <w:rPr>
          <w:rFonts w:ascii="Times New Roman" w:eastAsia="MS Mincho" w:hAnsi="Times New Roman" w:cs="Times New Roman"/>
          <w:b/>
          <w:bCs/>
          <w:color w:val="323E4F" w:themeColor="text2" w:themeShade="BF"/>
          <w:lang w:val="en-US"/>
        </w:rPr>
        <w:t>)</w:t>
      </w:r>
    </w:p>
    <w:p w14:paraId="37FBB684" w14:textId="2AE34EC7" w:rsidR="007C2077" w:rsidRPr="009562DC" w:rsidRDefault="009562DC" w:rsidP="009562DC">
      <w:pPr>
        <w:spacing w:line="360" w:lineRule="auto"/>
        <w:ind w:firstLine="567"/>
        <w:jc w:val="both"/>
        <w:rPr>
          <w:rFonts w:ascii="Times New Roman" w:eastAsia="MS Mincho" w:hAnsi="Times New Roman" w:cs="Times New Roman"/>
          <w:sz w:val="16"/>
          <w:szCs w:val="16"/>
          <w:lang w:val="en-US"/>
        </w:rPr>
      </w:pPr>
      <w:r w:rsidRPr="009562DC">
        <w:rPr>
          <w:rFonts w:ascii="Times New Roman" w:eastAsia="MS Mincho" w:hAnsi="Times New Roman" w:cs="Times New Roman"/>
          <w:b/>
          <w:sz w:val="16"/>
          <w:szCs w:val="16"/>
          <w:lang w:val="en-US"/>
        </w:rPr>
        <w:t>F</w:t>
      </w:r>
      <w:r w:rsidR="007C2077" w:rsidRPr="009562DC">
        <w:rPr>
          <w:rFonts w:ascii="Times New Roman" w:eastAsia="MS Mincho" w:hAnsi="Times New Roman" w:cs="Times New Roman"/>
          <w:b/>
          <w:sz w:val="16"/>
          <w:szCs w:val="16"/>
          <w:lang w:val="en-US"/>
        </w:rPr>
        <w:t>uente</w:t>
      </w:r>
      <w:r w:rsidR="007C2077" w:rsidRPr="009562DC">
        <w:rPr>
          <w:rFonts w:ascii="Times New Roman" w:eastAsia="MS Mincho" w:hAnsi="Times New Roman" w:cs="Times New Roman"/>
          <w:sz w:val="16"/>
          <w:szCs w:val="16"/>
          <w:lang w:val="en-US"/>
        </w:rPr>
        <w:t xml:space="preserve">: </w:t>
      </w:r>
      <w:proofErr w:type="spellStart"/>
      <w:r w:rsidR="007C2077" w:rsidRPr="009562DC">
        <w:rPr>
          <w:rFonts w:ascii="Times New Roman" w:eastAsia="MS Mincho" w:hAnsi="Times New Roman" w:cs="Times New Roman"/>
          <w:sz w:val="16"/>
          <w:szCs w:val="16"/>
          <w:lang w:val="en-US"/>
        </w:rPr>
        <w:t>Datos</w:t>
      </w:r>
      <w:proofErr w:type="spellEnd"/>
      <w:r w:rsidR="007C2077" w:rsidRPr="009562DC">
        <w:rPr>
          <w:rFonts w:ascii="Times New Roman" w:eastAsia="MS Mincho" w:hAnsi="Times New Roman" w:cs="Times New Roman"/>
          <w:sz w:val="16"/>
          <w:szCs w:val="16"/>
          <w:lang w:val="en-US"/>
        </w:rPr>
        <w:t xml:space="preserve"> de Main Science and Technology Indicators - OECD Statistics - OECD (2019)</w:t>
      </w:r>
    </w:p>
    <w:p w14:paraId="4E95B813" w14:textId="77777777" w:rsidR="007C2077" w:rsidRPr="007C2077" w:rsidRDefault="007C2077" w:rsidP="007C2077">
      <w:pPr>
        <w:spacing w:line="360" w:lineRule="auto"/>
        <w:jc w:val="both"/>
        <w:rPr>
          <w:rFonts w:ascii="Times New Roman" w:eastAsia="MS Mincho" w:hAnsi="Times New Roman" w:cs="Times New Roman"/>
          <w:lang w:val="en-US"/>
        </w:rPr>
      </w:pPr>
    </w:p>
    <w:p w14:paraId="60C38DBD" w14:textId="620F6486" w:rsidR="007C2077" w:rsidRPr="007C2077" w:rsidRDefault="007C2077" w:rsidP="007C2077">
      <w:pPr>
        <w:spacing w:line="360" w:lineRule="auto"/>
        <w:jc w:val="both"/>
        <w:rPr>
          <w:rFonts w:ascii="Times New Roman" w:eastAsia="MS Mincho" w:hAnsi="Times New Roman" w:cs="Times New Roman"/>
        </w:rPr>
      </w:pPr>
      <w:r w:rsidRPr="007C2077">
        <w:rPr>
          <w:rFonts w:ascii="Times New Roman" w:eastAsia="MS Mincho" w:hAnsi="Times New Roman" w:cs="Times New Roman"/>
        </w:rPr>
        <w:t xml:space="preserve">De acuerdo con los datos de la OCDE mostrados en la gráfica </w:t>
      </w:r>
      <w:r w:rsidR="009562DC">
        <w:rPr>
          <w:rFonts w:ascii="Times New Roman" w:eastAsia="MS Mincho" w:hAnsi="Times New Roman" w:cs="Times New Roman"/>
        </w:rPr>
        <w:t>9</w:t>
      </w:r>
      <w:r w:rsidRPr="007C2077">
        <w:rPr>
          <w:rFonts w:ascii="Times New Roman" w:eastAsia="MS Mincho" w:hAnsi="Times New Roman" w:cs="Times New Roman"/>
        </w:rPr>
        <w:t>, los fondos para CTI en rubros de investigación, economía y educación resultan importantes en casi todos los países presentados. En el caso de México, los fondos son menores, salvo para los programas de desarrollo económico. Este bajo nivel conduce a una APF con capacidades en CTI disminuidas. Entre las causas que agudizan el problema, se describen las siguientes:</w:t>
      </w:r>
    </w:p>
    <w:p w14:paraId="49216786" w14:textId="77777777" w:rsidR="007C2077" w:rsidRPr="007C2077" w:rsidRDefault="007C2077" w:rsidP="007C2077">
      <w:pPr>
        <w:spacing w:line="360" w:lineRule="auto"/>
        <w:jc w:val="both"/>
        <w:rPr>
          <w:rFonts w:ascii="Times New Roman" w:eastAsia="MS Mincho" w:hAnsi="Times New Roman" w:cs="Times New Roman"/>
        </w:rPr>
      </w:pPr>
    </w:p>
    <w:p w14:paraId="218D4DAF" w14:textId="1E723A0B" w:rsidR="007C2077" w:rsidRDefault="007C2077" w:rsidP="007C2077">
      <w:pPr>
        <w:numPr>
          <w:ilvl w:val="0"/>
          <w:numId w:val="5"/>
        </w:numPr>
        <w:spacing w:line="360" w:lineRule="auto"/>
        <w:jc w:val="both"/>
        <w:rPr>
          <w:rFonts w:ascii="Times New Roman" w:eastAsia="MS Mincho" w:hAnsi="Times New Roman" w:cs="Times New Roman"/>
        </w:rPr>
      </w:pPr>
      <w:r w:rsidRPr="007C2077">
        <w:rPr>
          <w:rFonts w:ascii="Times New Roman" w:eastAsia="MS Mincho" w:hAnsi="Times New Roman" w:cs="Times New Roman"/>
        </w:rPr>
        <w:t xml:space="preserve">Si los recursos de la APF son escasos, la participación de las Universidades, centros de investigación o empresas con capacidades en IDTI se verá afectada. Estos grupos presentan las propuestas en atención a las necesidades del sector. Esta vinculación entre actores sirve para </w:t>
      </w:r>
      <w:r w:rsidRPr="007C2077">
        <w:rPr>
          <w:rFonts w:ascii="Times New Roman" w:eastAsia="MS Mincho" w:hAnsi="Times New Roman" w:cs="Times New Roman"/>
        </w:rPr>
        <w:lastRenderedPageBreak/>
        <w:t>disminuir los riesgos económicos presentes en los proyectos de esta naturaleza. Sin embargo, ante un limitado techo presupuestal, el número de proyectos apoyados disminuye.</w:t>
      </w:r>
    </w:p>
    <w:p w14:paraId="1F298660" w14:textId="77777777" w:rsidR="004E2290" w:rsidRPr="007C2077" w:rsidRDefault="004E2290" w:rsidP="004E2290">
      <w:pPr>
        <w:spacing w:line="360" w:lineRule="auto"/>
        <w:ind w:left="720"/>
        <w:jc w:val="both"/>
        <w:rPr>
          <w:rFonts w:ascii="Times New Roman" w:eastAsia="MS Mincho" w:hAnsi="Times New Roman" w:cs="Times New Roman"/>
        </w:rPr>
      </w:pPr>
    </w:p>
    <w:p w14:paraId="44E9E96C" w14:textId="77777777" w:rsidR="007C2077" w:rsidRPr="007C2077" w:rsidRDefault="007C2077" w:rsidP="007C2077">
      <w:pPr>
        <w:numPr>
          <w:ilvl w:val="0"/>
          <w:numId w:val="5"/>
        </w:numPr>
        <w:spacing w:line="360" w:lineRule="auto"/>
        <w:jc w:val="both"/>
        <w:rPr>
          <w:rFonts w:ascii="Times New Roman" w:eastAsia="MS Mincho" w:hAnsi="Times New Roman" w:cs="Times New Roman"/>
        </w:rPr>
      </w:pPr>
      <w:r w:rsidRPr="007C2077">
        <w:rPr>
          <w:rFonts w:ascii="Times New Roman" w:eastAsia="MS Mincho" w:hAnsi="Times New Roman" w:cs="Times New Roman"/>
        </w:rPr>
        <w:t>El problema se agudiza porque las APF no cuentan con la solvencia suficiente para sostener un sistema que realice actividades de ciencia, tecnología e innovación en la atención de las necesidades que empleen un enfoque de desarrollo de infraestructura, personal e investigación científica y tecnológica.</w:t>
      </w:r>
    </w:p>
    <w:p w14:paraId="5CACAC93" w14:textId="77777777" w:rsidR="007C2077" w:rsidRPr="007C2077" w:rsidRDefault="007C2077" w:rsidP="007C2077">
      <w:pPr>
        <w:spacing w:line="360" w:lineRule="auto"/>
        <w:ind w:left="720"/>
        <w:jc w:val="both"/>
        <w:rPr>
          <w:rFonts w:ascii="Times New Roman" w:eastAsia="MS Mincho" w:hAnsi="Times New Roman" w:cs="Times New Roman"/>
        </w:rPr>
      </w:pPr>
    </w:p>
    <w:p w14:paraId="67656329" w14:textId="77777777" w:rsidR="007C2077" w:rsidRPr="007C2077" w:rsidRDefault="007C2077" w:rsidP="007C2077">
      <w:pPr>
        <w:numPr>
          <w:ilvl w:val="0"/>
          <w:numId w:val="5"/>
        </w:numPr>
        <w:spacing w:line="360" w:lineRule="auto"/>
        <w:jc w:val="both"/>
        <w:rPr>
          <w:rFonts w:ascii="Times New Roman" w:eastAsia="MS Mincho" w:hAnsi="Times New Roman" w:cs="Times New Roman"/>
        </w:rPr>
      </w:pPr>
      <w:r w:rsidRPr="007C2077">
        <w:rPr>
          <w:rFonts w:ascii="Times New Roman" w:eastAsia="MS Mincho" w:hAnsi="Times New Roman" w:cs="Times New Roman"/>
        </w:rPr>
        <w:t>Finalmente, aunque se cuente con infraestructura instalada entre distintos sectores, las redes de vinculación y de maduración tecnológica no están afianzadas. Lo anterior provoca la dispersión de esfuerzos junto con la poca profundización y expansión de los desarrollos y productos en CTI. Podrán existir distintos factores que explican esta ausencia de interrelación entre los actores. No obstante, es necesario crear los incentivos (económicos y sociales) que motiven la concentración de los recursos y esfuerzos entre ellos. De otro modo, la alta dependencia de los recursos públicos y el poco protagonismo del ámbito privado continuarán.</w:t>
      </w:r>
    </w:p>
    <w:p w14:paraId="3799FAFB" w14:textId="77777777" w:rsidR="007C2077" w:rsidRPr="007C2077" w:rsidRDefault="007C2077" w:rsidP="007C2077">
      <w:pPr>
        <w:spacing w:line="360" w:lineRule="auto"/>
        <w:ind w:left="720"/>
        <w:jc w:val="both"/>
        <w:rPr>
          <w:rFonts w:ascii="Times New Roman" w:eastAsia="MS Mincho" w:hAnsi="Times New Roman" w:cs="Times New Roman"/>
        </w:rPr>
      </w:pPr>
    </w:p>
    <w:p w14:paraId="293E35EB" w14:textId="77777777" w:rsidR="007C2077" w:rsidRPr="007C2077" w:rsidRDefault="007C2077" w:rsidP="007C2077">
      <w:pPr>
        <w:spacing w:line="360" w:lineRule="auto"/>
        <w:jc w:val="both"/>
        <w:rPr>
          <w:rFonts w:ascii="Times New Roman" w:eastAsia="MS Mincho" w:hAnsi="Times New Roman" w:cs="Times New Roman"/>
        </w:rPr>
      </w:pPr>
      <w:r w:rsidRPr="007C2077">
        <w:rPr>
          <w:rFonts w:ascii="Times New Roman" w:eastAsia="MS Mincho" w:hAnsi="Times New Roman" w:cs="Times New Roman"/>
        </w:rPr>
        <w:t xml:space="preserve">Por otra parte, la restricción presupuestaria gubernamental obliga la designación de los recursos hacia áreas prioritarias. En efecto, el margen de maniobra para atender otras actividades en IDTI se ve reducido. </w:t>
      </w:r>
    </w:p>
    <w:p w14:paraId="13C75EC8" w14:textId="77777777" w:rsidR="002336F8" w:rsidRDefault="007C2077" w:rsidP="002336F8">
      <w:pPr>
        <w:pStyle w:val="Ttulo3"/>
        <w:spacing w:before="100" w:beforeAutospacing="1"/>
        <w:rPr>
          <w:rFonts w:ascii="Times New Roman" w:eastAsia="MS Mincho" w:hAnsi="Times New Roman" w:cs="Times New Roman"/>
          <w:bCs/>
          <w:i/>
        </w:rPr>
      </w:pPr>
      <w:bookmarkStart w:id="25" w:name="_Toc453749480"/>
      <w:bookmarkStart w:id="26" w:name="_Toc32920324"/>
      <w:r w:rsidRPr="009562DC">
        <w:rPr>
          <w:rFonts w:ascii="Times New Roman" w:eastAsia="MS Gothic" w:hAnsi="Times New Roman" w:cs="Times New Roman"/>
          <w:b/>
          <w:iCs/>
        </w:rPr>
        <w:t>II.4.2</w:t>
      </w:r>
      <w:r w:rsidR="003421EF">
        <w:rPr>
          <w:rFonts w:ascii="Times New Roman" w:eastAsia="MS Gothic" w:hAnsi="Times New Roman" w:cs="Times New Roman"/>
          <w:b/>
          <w:iCs/>
        </w:rPr>
        <w:t>.</w:t>
      </w:r>
      <w:r w:rsidRPr="009562DC">
        <w:rPr>
          <w:rFonts w:ascii="Times New Roman" w:eastAsia="MS Gothic" w:hAnsi="Times New Roman" w:cs="Times New Roman"/>
          <w:b/>
          <w:iCs/>
        </w:rPr>
        <w:t xml:space="preserve"> </w:t>
      </w:r>
      <w:r w:rsidRPr="009562DC">
        <w:rPr>
          <w:rFonts w:ascii="Times New Roman" w:eastAsia="MS Mincho" w:hAnsi="Times New Roman" w:cs="Times New Roman"/>
          <w:b/>
          <w:iCs/>
        </w:rPr>
        <w:t>Descripción de los efectos que genera el problema</w:t>
      </w:r>
      <w:r w:rsidRPr="007C2077">
        <w:rPr>
          <w:rFonts w:ascii="Times New Roman" w:eastAsia="MS Mincho" w:hAnsi="Times New Roman" w:cs="Times New Roman"/>
          <w:bCs/>
          <w:i/>
        </w:rPr>
        <w:t>.</w:t>
      </w:r>
      <w:bookmarkEnd w:id="25"/>
      <w:bookmarkEnd w:id="26"/>
    </w:p>
    <w:p w14:paraId="74FBD676" w14:textId="4AE6D006" w:rsidR="007C2077" w:rsidRPr="0005403A" w:rsidRDefault="007C2077" w:rsidP="0005403A">
      <w:pPr>
        <w:spacing w:before="100" w:beforeAutospacing="1" w:line="360" w:lineRule="auto"/>
        <w:rPr>
          <w:rFonts w:ascii="Times New Roman" w:eastAsia="MS Mincho" w:hAnsi="Times New Roman" w:cs="Times New Roman"/>
        </w:rPr>
      </w:pPr>
      <w:r w:rsidRPr="0005403A">
        <w:rPr>
          <w:rFonts w:ascii="Times New Roman" w:eastAsia="MS Mincho" w:hAnsi="Times New Roman" w:cs="Times New Roman"/>
        </w:rPr>
        <w:t>Los efectos negativos del problema, específicamente sobre las capacidades en CTI de la APF, se encuentran las siguientes:</w:t>
      </w:r>
    </w:p>
    <w:p w14:paraId="7C5F7502" w14:textId="77777777" w:rsidR="007C2077" w:rsidRPr="007C2077" w:rsidRDefault="007C2077" w:rsidP="007C2077">
      <w:pPr>
        <w:spacing w:line="360" w:lineRule="auto"/>
        <w:jc w:val="both"/>
        <w:rPr>
          <w:rFonts w:ascii="Times New Roman" w:eastAsia="MS Mincho" w:hAnsi="Times New Roman" w:cs="Times New Roman"/>
        </w:rPr>
      </w:pPr>
    </w:p>
    <w:p w14:paraId="7518CF93" w14:textId="77777777" w:rsidR="007C2077" w:rsidRPr="007C2077" w:rsidRDefault="007C2077" w:rsidP="007C2077">
      <w:pPr>
        <w:numPr>
          <w:ilvl w:val="0"/>
          <w:numId w:val="6"/>
        </w:numPr>
        <w:spacing w:line="360" w:lineRule="auto"/>
        <w:jc w:val="both"/>
        <w:rPr>
          <w:rFonts w:ascii="Times New Roman" w:eastAsia="MS Mincho" w:hAnsi="Times New Roman" w:cs="Times New Roman"/>
        </w:rPr>
      </w:pPr>
      <w:r w:rsidRPr="007C2077">
        <w:rPr>
          <w:rFonts w:ascii="Times New Roman" w:eastAsia="MS Mincho" w:hAnsi="Times New Roman" w:cs="Times New Roman"/>
        </w:rPr>
        <w:t>Existe rezago científico y tecnológico para la atención de las necesidades de los sectores de la APF;</w:t>
      </w:r>
    </w:p>
    <w:p w14:paraId="53E0325D" w14:textId="039060B8" w:rsidR="007C2077" w:rsidRDefault="007C2077" w:rsidP="007C2077">
      <w:pPr>
        <w:numPr>
          <w:ilvl w:val="0"/>
          <w:numId w:val="6"/>
        </w:numPr>
        <w:spacing w:line="360" w:lineRule="auto"/>
        <w:jc w:val="both"/>
        <w:rPr>
          <w:rFonts w:ascii="Times New Roman" w:eastAsia="MS Mincho" w:hAnsi="Times New Roman" w:cs="Times New Roman"/>
        </w:rPr>
      </w:pPr>
      <w:r w:rsidRPr="007C2077">
        <w:rPr>
          <w:rFonts w:ascii="Times New Roman" w:eastAsia="MS Mincho" w:hAnsi="Times New Roman" w:cs="Times New Roman"/>
        </w:rPr>
        <w:t>Los sectores, al no contar con mayores recursos, presentan una tendencia a la dependencia tecnológica con terceros en el extranjero. Además, se acompaña de un pobre desarrollo y crecimiento empresarial nacional;</w:t>
      </w:r>
    </w:p>
    <w:p w14:paraId="54DB25DE" w14:textId="77777777" w:rsidR="009562DC" w:rsidRPr="007C2077" w:rsidRDefault="009562DC" w:rsidP="009562DC">
      <w:pPr>
        <w:spacing w:line="360" w:lineRule="auto"/>
        <w:ind w:left="720"/>
        <w:jc w:val="both"/>
        <w:rPr>
          <w:rFonts w:ascii="Times New Roman" w:eastAsia="MS Mincho" w:hAnsi="Times New Roman" w:cs="Times New Roman"/>
        </w:rPr>
      </w:pPr>
    </w:p>
    <w:p w14:paraId="5AF8EC48" w14:textId="7648AA3C" w:rsidR="007C2077" w:rsidRDefault="007C2077" w:rsidP="007C2077">
      <w:pPr>
        <w:numPr>
          <w:ilvl w:val="0"/>
          <w:numId w:val="6"/>
        </w:numPr>
        <w:spacing w:line="360" w:lineRule="auto"/>
        <w:jc w:val="both"/>
        <w:rPr>
          <w:rFonts w:ascii="Times New Roman" w:eastAsia="MS Mincho" w:hAnsi="Times New Roman" w:cs="Times New Roman"/>
        </w:rPr>
      </w:pPr>
      <w:r w:rsidRPr="007C2077">
        <w:rPr>
          <w:rFonts w:ascii="Times New Roman" w:eastAsia="MS Mincho" w:hAnsi="Times New Roman" w:cs="Times New Roman"/>
        </w:rPr>
        <w:t>Similar al punto anterior, existe una alta dependencia de los recursos gubernamentales para la realización de actividades en IDTI.</w:t>
      </w:r>
    </w:p>
    <w:p w14:paraId="5CB7B1E9" w14:textId="77777777" w:rsidR="009562DC" w:rsidRPr="007C2077" w:rsidRDefault="009562DC" w:rsidP="009562DC">
      <w:pPr>
        <w:spacing w:line="360" w:lineRule="auto"/>
        <w:jc w:val="both"/>
        <w:rPr>
          <w:rFonts w:ascii="Times New Roman" w:eastAsia="MS Mincho" w:hAnsi="Times New Roman" w:cs="Times New Roman"/>
        </w:rPr>
      </w:pPr>
    </w:p>
    <w:p w14:paraId="1A8D5F79" w14:textId="77777777" w:rsidR="007C2077" w:rsidRPr="007C2077" w:rsidRDefault="007C2077" w:rsidP="007C2077">
      <w:pPr>
        <w:numPr>
          <w:ilvl w:val="0"/>
          <w:numId w:val="6"/>
        </w:numPr>
        <w:spacing w:line="360" w:lineRule="auto"/>
        <w:jc w:val="both"/>
        <w:rPr>
          <w:rFonts w:ascii="Times New Roman" w:eastAsia="MS Mincho" w:hAnsi="Times New Roman" w:cs="Times New Roman"/>
        </w:rPr>
      </w:pPr>
      <w:r w:rsidRPr="007C2077">
        <w:rPr>
          <w:rFonts w:ascii="Times New Roman" w:eastAsia="MS Mincho" w:hAnsi="Times New Roman" w:cs="Times New Roman"/>
        </w:rPr>
        <w:t>Las esferas privadas y de gobierno cuentan con poca vinculación con las entidades generadoras de IDTI (Universidades, centros Públicos de Investigación, empresas, etc.), generando el desaprovechamiento y la dispersión de las capacidades en ciencia, tecnología e innovación ya instalada.</w:t>
      </w:r>
    </w:p>
    <w:p w14:paraId="3C946C37" w14:textId="77777777" w:rsidR="007C2077" w:rsidRPr="007C2077" w:rsidRDefault="007C2077" w:rsidP="007C2077">
      <w:pPr>
        <w:spacing w:line="360" w:lineRule="auto"/>
        <w:ind w:left="720"/>
        <w:jc w:val="both"/>
        <w:rPr>
          <w:rFonts w:ascii="Times New Roman" w:eastAsia="MS Mincho" w:hAnsi="Times New Roman" w:cs="Times New Roman"/>
        </w:rPr>
      </w:pPr>
    </w:p>
    <w:p w14:paraId="250849DB" w14:textId="77777777" w:rsidR="007C2077" w:rsidRPr="007C2077" w:rsidRDefault="007C2077" w:rsidP="007C2077">
      <w:pPr>
        <w:spacing w:line="360" w:lineRule="auto"/>
        <w:jc w:val="both"/>
        <w:rPr>
          <w:rFonts w:ascii="Times New Roman" w:eastAsia="MS Mincho" w:hAnsi="Times New Roman" w:cs="Times New Roman"/>
        </w:rPr>
      </w:pPr>
      <w:r w:rsidRPr="007C2077">
        <w:rPr>
          <w:rFonts w:ascii="Times New Roman" w:eastAsia="MS Mincho" w:hAnsi="Times New Roman" w:cs="Times New Roman"/>
        </w:rPr>
        <w:t>Por lo anterior, se deben fortalecer los mecanismos de articulación entre las dependencias y entidades de la administración pública federal con los recursos y capacidades que poseen otros agentes en el país para realizar actividades de investigación, desarrollo tecnológico e innovación. Así, las dependencias tendrán más posibilidades para atender los problemas que limitan su eficiencia y brindar un mejor servicio a la sociedad, a través de la generación y uso del conocimiento como una herramienta adicional.</w:t>
      </w:r>
    </w:p>
    <w:p w14:paraId="4A062229" w14:textId="77777777" w:rsidR="007C2077" w:rsidRPr="007C2077" w:rsidRDefault="007C2077" w:rsidP="007C2077">
      <w:pPr>
        <w:spacing w:line="360" w:lineRule="auto"/>
        <w:jc w:val="both"/>
        <w:rPr>
          <w:rFonts w:ascii="Times New Roman" w:eastAsia="MS Mincho" w:hAnsi="Times New Roman" w:cs="Times New Roman"/>
        </w:rPr>
      </w:pPr>
    </w:p>
    <w:p w14:paraId="6859634C" w14:textId="154EF0C2" w:rsidR="007C2077" w:rsidRPr="007C2077" w:rsidRDefault="007C2077" w:rsidP="007C2077">
      <w:pPr>
        <w:spacing w:line="360" w:lineRule="auto"/>
        <w:jc w:val="both"/>
        <w:rPr>
          <w:rFonts w:ascii="Times New Roman" w:eastAsia="MS Mincho" w:hAnsi="Times New Roman" w:cs="Times New Roman"/>
        </w:rPr>
      </w:pPr>
      <w:r w:rsidRPr="007C2077">
        <w:rPr>
          <w:rFonts w:ascii="Times New Roman" w:eastAsia="MS Mincho" w:hAnsi="Times New Roman" w:cs="Times New Roman"/>
        </w:rPr>
        <w:t xml:space="preserve">Es por ello que los Fondos Sectoriales establecidos por el </w:t>
      </w:r>
      <w:r w:rsidR="008922A3">
        <w:rPr>
          <w:rFonts w:ascii="Times New Roman" w:eastAsia="MS Mincho" w:hAnsi="Times New Roman" w:cs="Times New Roman"/>
        </w:rPr>
        <w:t>CONACYT</w:t>
      </w:r>
      <w:r w:rsidRPr="007C2077">
        <w:rPr>
          <w:rFonts w:ascii="Times New Roman" w:eastAsia="MS Mincho" w:hAnsi="Times New Roman" w:cs="Times New Roman"/>
        </w:rPr>
        <w:t xml:space="preserve"> al amparo de la Ley de Ciencia y Tecnología buscan resolver que los sectores de las distintas entidades que conforman la administración pública federal cuenten con suficientes capacidades y recursos para llevar a cabo proyectos y programas de Investigación, Desarrollo Tecnológico e Innovación en atención a sus demandas.</w:t>
      </w:r>
    </w:p>
    <w:p w14:paraId="484343BC" w14:textId="76C71A9A" w:rsidR="007C2077" w:rsidRPr="00D4263A" w:rsidRDefault="007C2077" w:rsidP="00014207">
      <w:pPr>
        <w:pStyle w:val="Ttulo1"/>
        <w:numPr>
          <w:ilvl w:val="0"/>
          <w:numId w:val="28"/>
        </w:numPr>
        <w:rPr>
          <w:rFonts w:ascii="Times New Roman" w:eastAsia="Times New Roman" w:hAnsi="Times New Roman" w:cs="Times New Roman"/>
          <w:b/>
          <w:bCs/>
          <w:color w:val="auto"/>
        </w:rPr>
      </w:pPr>
      <w:bookmarkStart w:id="27" w:name="_Toc32920325"/>
      <w:r w:rsidRPr="002336F8">
        <w:rPr>
          <w:rFonts w:ascii="Times New Roman" w:eastAsia="Times New Roman" w:hAnsi="Times New Roman" w:cs="Times New Roman"/>
          <w:b/>
          <w:bCs/>
        </w:rPr>
        <w:t>Objetivos</w:t>
      </w:r>
      <w:bookmarkEnd w:id="23"/>
      <w:bookmarkEnd w:id="27"/>
    </w:p>
    <w:p w14:paraId="578A5711" w14:textId="76350E46" w:rsidR="007C2077" w:rsidRPr="007C2077" w:rsidRDefault="007C2077" w:rsidP="002336F8">
      <w:pPr>
        <w:pStyle w:val="Ttulo2"/>
        <w:spacing w:before="100" w:beforeAutospacing="1"/>
        <w:rPr>
          <w:rFonts w:ascii="Times New Roman" w:eastAsia="Times New Roman" w:hAnsi="Times New Roman" w:cs="Times New Roman"/>
          <w:b/>
          <w:bCs/>
        </w:rPr>
      </w:pPr>
      <w:bookmarkStart w:id="28" w:name="_Toc447611670"/>
      <w:bookmarkStart w:id="29" w:name="_Toc32920326"/>
      <w:r w:rsidRPr="007C2077">
        <w:rPr>
          <w:rFonts w:ascii="Times New Roman" w:eastAsia="Times New Roman" w:hAnsi="Times New Roman" w:cs="Times New Roman"/>
          <w:b/>
          <w:bCs/>
        </w:rPr>
        <w:t>III.1. Árbol de objetivos</w:t>
      </w:r>
      <w:bookmarkEnd w:id="28"/>
      <w:bookmarkEnd w:id="29"/>
    </w:p>
    <w:p w14:paraId="713B03DC" w14:textId="4482CBFD" w:rsidR="007C2077" w:rsidRPr="007C2077" w:rsidRDefault="007C2077" w:rsidP="002336F8">
      <w:pPr>
        <w:spacing w:before="100" w:beforeAutospacing="1" w:line="360" w:lineRule="auto"/>
        <w:jc w:val="both"/>
        <w:rPr>
          <w:rFonts w:ascii="Times New Roman" w:eastAsia="Times New Roman" w:hAnsi="Times New Roman" w:cs="Times New Roman"/>
        </w:rPr>
      </w:pPr>
      <w:bookmarkStart w:id="30" w:name="_Toc447611671"/>
      <w:r w:rsidRPr="007C2077">
        <w:rPr>
          <w:rFonts w:ascii="Times New Roman" w:eastAsia="Times New Roman" w:hAnsi="Times New Roman" w:cs="Times New Roman"/>
        </w:rPr>
        <w:t xml:space="preserve">El programa S-192 constituye un mecanismo articulador entre los sectores administrativos  y organizaciones públicas y/o privadas, su objetivo está orientado a mejorar las capacidades en el ámbito de Ciencia, </w:t>
      </w:r>
      <w:r w:rsidR="00172A4C">
        <w:rPr>
          <w:rFonts w:ascii="Times New Roman" w:eastAsia="Times New Roman" w:hAnsi="Times New Roman" w:cs="Times New Roman"/>
        </w:rPr>
        <w:t xml:space="preserve">Tecnología e Innovación de los </w:t>
      </w:r>
      <w:r w:rsidRPr="007C2077">
        <w:rPr>
          <w:rFonts w:ascii="Times New Roman" w:eastAsia="Times New Roman" w:hAnsi="Times New Roman" w:cs="Times New Roman"/>
        </w:rPr>
        <w:t xml:space="preserve">mismos,  a través del incremento de recursos humanos altamente calificados en CTI dentro de los sectores e infraestructura científica/tecnológica para realizar </w:t>
      </w:r>
      <w:r w:rsidRPr="007C2077">
        <w:rPr>
          <w:rFonts w:ascii="Times New Roman" w:eastAsia="Times New Roman" w:hAnsi="Times New Roman" w:cs="Times New Roman"/>
        </w:rPr>
        <w:lastRenderedPageBreak/>
        <w:t>actividades de IDT; así como mayores recursos financieros para el sostenimiento del sistema de IDTI por sector.</w:t>
      </w:r>
      <w:r w:rsidR="0005403A">
        <w:rPr>
          <w:rFonts w:ascii="Times New Roman" w:eastAsia="Times New Roman" w:hAnsi="Times New Roman" w:cs="Times New Roman"/>
        </w:rPr>
        <w:t xml:space="preserve"> </w:t>
      </w:r>
    </w:p>
    <w:p w14:paraId="00100337" w14:textId="77777777" w:rsidR="007C2077" w:rsidRPr="007C2077" w:rsidRDefault="007C2077" w:rsidP="007C2077">
      <w:pPr>
        <w:spacing w:line="360" w:lineRule="auto"/>
        <w:jc w:val="both"/>
        <w:rPr>
          <w:rFonts w:ascii="Times New Roman" w:eastAsia="Times New Roman" w:hAnsi="Times New Roman" w:cs="Times New Roman"/>
        </w:rPr>
      </w:pPr>
    </w:p>
    <w:p w14:paraId="015804DD" w14:textId="77777777" w:rsidR="007C2077" w:rsidRPr="007C2077" w:rsidRDefault="007C2077" w:rsidP="007C2077">
      <w:pPr>
        <w:spacing w:line="360" w:lineRule="auto"/>
        <w:jc w:val="both"/>
        <w:rPr>
          <w:rFonts w:ascii="Times New Roman" w:eastAsia="Times New Roman" w:hAnsi="Times New Roman" w:cs="Times New Roman"/>
        </w:rPr>
      </w:pPr>
      <w:r w:rsidRPr="007C2077">
        <w:rPr>
          <w:rFonts w:ascii="Times New Roman" w:eastAsia="Times New Roman" w:hAnsi="Times New Roman" w:cs="Times New Roman"/>
        </w:rPr>
        <w:t>Para lograr lo anterior se impulsa un mayor número de desarrollos científicos y tecnológicos, y el establecimiento de mecanismos para el desarrollo de proyectos de IDTI.</w:t>
      </w:r>
    </w:p>
    <w:p w14:paraId="28BF4863" w14:textId="77777777" w:rsidR="007C2077" w:rsidRPr="007C2077" w:rsidRDefault="007C2077" w:rsidP="007C2077">
      <w:pPr>
        <w:spacing w:line="360" w:lineRule="auto"/>
        <w:jc w:val="both"/>
        <w:rPr>
          <w:rFonts w:ascii="Times New Roman" w:eastAsia="Times New Roman" w:hAnsi="Times New Roman" w:cs="Times New Roman"/>
        </w:rPr>
      </w:pPr>
    </w:p>
    <w:p w14:paraId="4D48C4A4" w14:textId="0F27694E" w:rsidR="007C2077" w:rsidRDefault="007C2077" w:rsidP="007C2077">
      <w:pPr>
        <w:spacing w:line="360" w:lineRule="auto"/>
        <w:jc w:val="both"/>
        <w:rPr>
          <w:rFonts w:ascii="Times New Roman" w:eastAsia="Times New Roman" w:hAnsi="Times New Roman" w:cs="Times New Roman"/>
        </w:rPr>
      </w:pPr>
      <w:r w:rsidRPr="007C2077">
        <w:rPr>
          <w:rFonts w:ascii="Times New Roman" w:eastAsia="Times New Roman" w:hAnsi="Times New Roman" w:cs="Times New Roman"/>
        </w:rPr>
        <w:t>Las acciones antes mencionadas estimulan la disminución del rezago científico – tecnológico, reducen la dependencia tecnológica hacia terceros actores y generan mayor vinculación entre las entidades encargadas de generar conocimiento, desarrollo tecnológico e innovación teniendo como fin una mayor y mejor articulación de los esfuerzos encaminados a desarrollar investigación, desarrollo tecnológico e Innovación.</w:t>
      </w:r>
    </w:p>
    <w:p w14:paraId="1D62E27E" w14:textId="68D880B9" w:rsidR="009562DC" w:rsidRDefault="009562DC" w:rsidP="007C2077">
      <w:pPr>
        <w:spacing w:line="360" w:lineRule="auto"/>
        <w:jc w:val="both"/>
        <w:rPr>
          <w:rFonts w:ascii="Times New Roman" w:eastAsia="Times New Roman" w:hAnsi="Times New Roman" w:cs="Times New Roman"/>
        </w:rPr>
      </w:pPr>
    </w:p>
    <w:p w14:paraId="54CF34EA" w14:textId="2C2DCA94" w:rsidR="0005403A" w:rsidRDefault="0005403A" w:rsidP="007C2077">
      <w:pPr>
        <w:spacing w:line="360" w:lineRule="auto"/>
        <w:jc w:val="both"/>
        <w:rPr>
          <w:rFonts w:ascii="Times New Roman" w:eastAsia="Times New Roman" w:hAnsi="Times New Roman" w:cs="Times New Roman"/>
        </w:rPr>
      </w:pPr>
    </w:p>
    <w:p w14:paraId="73C153DF" w14:textId="5ABB967C" w:rsidR="0005403A" w:rsidRDefault="0005403A" w:rsidP="007C2077">
      <w:pPr>
        <w:spacing w:line="360" w:lineRule="auto"/>
        <w:jc w:val="both"/>
        <w:rPr>
          <w:rFonts w:ascii="Times New Roman" w:eastAsia="Times New Roman" w:hAnsi="Times New Roman" w:cs="Times New Roman"/>
        </w:rPr>
      </w:pPr>
    </w:p>
    <w:p w14:paraId="6988F247" w14:textId="45C388D3" w:rsidR="0005403A" w:rsidRDefault="0005403A" w:rsidP="007C2077">
      <w:pPr>
        <w:spacing w:line="360" w:lineRule="auto"/>
        <w:jc w:val="both"/>
        <w:rPr>
          <w:rFonts w:ascii="Times New Roman" w:eastAsia="Times New Roman" w:hAnsi="Times New Roman" w:cs="Times New Roman"/>
        </w:rPr>
      </w:pPr>
    </w:p>
    <w:p w14:paraId="7964EA3B" w14:textId="2F7AC2A2" w:rsidR="0005403A" w:rsidRDefault="0005403A" w:rsidP="007C2077">
      <w:pPr>
        <w:spacing w:line="360" w:lineRule="auto"/>
        <w:jc w:val="both"/>
        <w:rPr>
          <w:rFonts w:ascii="Times New Roman" w:eastAsia="Times New Roman" w:hAnsi="Times New Roman" w:cs="Times New Roman"/>
        </w:rPr>
      </w:pPr>
    </w:p>
    <w:p w14:paraId="13899B98" w14:textId="2122C86C" w:rsidR="0005403A" w:rsidRDefault="0005403A" w:rsidP="007C2077">
      <w:pPr>
        <w:spacing w:line="360" w:lineRule="auto"/>
        <w:jc w:val="both"/>
        <w:rPr>
          <w:rFonts w:ascii="Times New Roman" w:eastAsia="Times New Roman" w:hAnsi="Times New Roman" w:cs="Times New Roman"/>
        </w:rPr>
      </w:pPr>
    </w:p>
    <w:p w14:paraId="4E6FA589" w14:textId="2C2E4B7E" w:rsidR="0005403A" w:rsidRDefault="0005403A" w:rsidP="007C2077">
      <w:pPr>
        <w:spacing w:line="360" w:lineRule="auto"/>
        <w:jc w:val="both"/>
        <w:rPr>
          <w:rFonts w:ascii="Times New Roman" w:eastAsia="Times New Roman" w:hAnsi="Times New Roman" w:cs="Times New Roman"/>
        </w:rPr>
      </w:pPr>
    </w:p>
    <w:p w14:paraId="0712E8A2" w14:textId="7B7349BE" w:rsidR="0005403A" w:rsidRDefault="0005403A" w:rsidP="007C2077">
      <w:pPr>
        <w:spacing w:line="360" w:lineRule="auto"/>
        <w:jc w:val="both"/>
        <w:rPr>
          <w:rFonts w:ascii="Times New Roman" w:eastAsia="Times New Roman" w:hAnsi="Times New Roman" w:cs="Times New Roman"/>
        </w:rPr>
      </w:pPr>
    </w:p>
    <w:p w14:paraId="10E0F563" w14:textId="21329814" w:rsidR="0005403A" w:rsidRDefault="0005403A" w:rsidP="007C2077">
      <w:pPr>
        <w:spacing w:line="360" w:lineRule="auto"/>
        <w:jc w:val="both"/>
        <w:rPr>
          <w:rFonts w:ascii="Times New Roman" w:eastAsia="Times New Roman" w:hAnsi="Times New Roman" w:cs="Times New Roman"/>
        </w:rPr>
      </w:pPr>
    </w:p>
    <w:p w14:paraId="2D010B30" w14:textId="1C16F4B3" w:rsidR="0005403A" w:rsidRDefault="0005403A" w:rsidP="007C2077">
      <w:pPr>
        <w:spacing w:line="360" w:lineRule="auto"/>
        <w:jc w:val="both"/>
        <w:rPr>
          <w:rFonts w:ascii="Times New Roman" w:eastAsia="Times New Roman" w:hAnsi="Times New Roman" w:cs="Times New Roman"/>
        </w:rPr>
      </w:pPr>
    </w:p>
    <w:p w14:paraId="37B63CB6" w14:textId="6543E91B" w:rsidR="0005403A" w:rsidRDefault="0005403A" w:rsidP="007C2077">
      <w:pPr>
        <w:spacing w:line="360" w:lineRule="auto"/>
        <w:jc w:val="both"/>
        <w:rPr>
          <w:rFonts w:ascii="Times New Roman" w:eastAsia="Times New Roman" w:hAnsi="Times New Roman" w:cs="Times New Roman"/>
        </w:rPr>
      </w:pPr>
    </w:p>
    <w:p w14:paraId="7952AC96" w14:textId="73B3F964" w:rsidR="0005403A" w:rsidRDefault="0005403A" w:rsidP="007C2077">
      <w:pPr>
        <w:spacing w:line="360" w:lineRule="auto"/>
        <w:jc w:val="both"/>
        <w:rPr>
          <w:rFonts w:ascii="Times New Roman" w:eastAsia="Times New Roman" w:hAnsi="Times New Roman" w:cs="Times New Roman"/>
        </w:rPr>
      </w:pPr>
    </w:p>
    <w:p w14:paraId="5A7357C1" w14:textId="15FA6CA5" w:rsidR="0005403A" w:rsidRDefault="0005403A" w:rsidP="007C2077">
      <w:pPr>
        <w:spacing w:line="360" w:lineRule="auto"/>
        <w:jc w:val="both"/>
        <w:rPr>
          <w:rFonts w:ascii="Times New Roman" w:eastAsia="Times New Roman" w:hAnsi="Times New Roman" w:cs="Times New Roman"/>
        </w:rPr>
      </w:pPr>
    </w:p>
    <w:p w14:paraId="4326AE23" w14:textId="3DF35765" w:rsidR="0005403A" w:rsidRDefault="0005403A" w:rsidP="007C2077">
      <w:pPr>
        <w:spacing w:line="360" w:lineRule="auto"/>
        <w:jc w:val="both"/>
        <w:rPr>
          <w:rFonts w:ascii="Times New Roman" w:eastAsia="Times New Roman" w:hAnsi="Times New Roman" w:cs="Times New Roman"/>
        </w:rPr>
      </w:pPr>
    </w:p>
    <w:p w14:paraId="3B6C9FFF" w14:textId="5142DF77" w:rsidR="0005403A" w:rsidRDefault="0005403A" w:rsidP="007C2077">
      <w:pPr>
        <w:spacing w:line="360" w:lineRule="auto"/>
        <w:jc w:val="both"/>
        <w:rPr>
          <w:rFonts w:ascii="Times New Roman" w:eastAsia="Times New Roman" w:hAnsi="Times New Roman" w:cs="Times New Roman"/>
        </w:rPr>
      </w:pPr>
    </w:p>
    <w:p w14:paraId="0D83AC4E" w14:textId="0F75D82C" w:rsidR="0005403A" w:rsidRDefault="0005403A" w:rsidP="007C2077">
      <w:pPr>
        <w:spacing w:line="360" w:lineRule="auto"/>
        <w:jc w:val="both"/>
        <w:rPr>
          <w:rFonts w:ascii="Times New Roman" w:eastAsia="Times New Roman" w:hAnsi="Times New Roman" w:cs="Times New Roman"/>
        </w:rPr>
      </w:pPr>
    </w:p>
    <w:p w14:paraId="36F2CD6D" w14:textId="77777777" w:rsidR="0005403A" w:rsidRDefault="0005403A" w:rsidP="007C2077">
      <w:pPr>
        <w:spacing w:line="360" w:lineRule="auto"/>
        <w:jc w:val="both"/>
        <w:rPr>
          <w:rFonts w:ascii="Times New Roman" w:eastAsia="Times New Roman" w:hAnsi="Times New Roman" w:cs="Times New Roman"/>
        </w:rPr>
      </w:pPr>
    </w:p>
    <w:p w14:paraId="7BAC9919" w14:textId="4EBF903E" w:rsidR="007C2077" w:rsidRPr="00B25602" w:rsidRDefault="007C2077" w:rsidP="009562DC">
      <w:pPr>
        <w:spacing w:line="360" w:lineRule="auto"/>
        <w:jc w:val="center"/>
        <w:rPr>
          <w:rFonts w:ascii="Times New Roman" w:eastAsia="MS Mincho" w:hAnsi="Times New Roman" w:cs="Times New Roman"/>
          <w:b/>
          <w:color w:val="323E4F" w:themeColor="text2" w:themeShade="BF"/>
        </w:rPr>
      </w:pPr>
      <w:r w:rsidRPr="00B25602">
        <w:rPr>
          <w:rFonts w:ascii="Times New Roman" w:eastAsia="MS Mincho" w:hAnsi="Times New Roman" w:cs="Times New Roman"/>
          <w:b/>
          <w:color w:val="323E4F" w:themeColor="text2" w:themeShade="BF"/>
        </w:rPr>
        <w:lastRenderedPageBreak/>
        <w:t xml:space="preserve">Figura </w:t>
      </w:r>
      <w:r w:rsidR="009562DC" w:rsidRPr="00B25602">
        <w:rPr>
          <w:rFonts w:ascii="Times New Roman" w:eastAsia="MS Mincho" w:hAnsi="Times New Roman" w:cs="Times New Roman"/>
          <w:b/>
          <w:color w:val="323E4F" w:themeColor="text2" w:themeShade="BF"/>
        </w:rPr>
        <w:t>3</w:t>
      </w:r>
      <w:r w:rsidRPr="00B25602">
        <w:rPr>
          <w:rFonts w:ascii="Times New Roman" w:eastAsia="MS Mincho" w:hAnsi="Times New Roman" w:cs="Times New Roman"/>
          <w:b/>
          <w:color w:val="323E4F" w:themeColor="text2" w:themeShade="BF"/>
        </w:rPr>
        <w:t>. Árbol de Objetivos de los Fondos Sectoriales</w:t>
      </w:r>
    </w:p>
    <w:p w14:paraId="18D85F19" w14:textId="77777777" w:rsidR="007C2077" w:rsidRPr="007C2077" w:rsidRDefault="007C2077" w:rsidP="007C2077">
      <w:pPr>
        <w:tabs>
          <w:tab w:val="left" w:pos="2280"/>
        </w:tabs>
        <w:spacing w:line="360" w:lineRule="auto"/>
        <w:jc w:val="center"/>
        <w:rPr>
          <w:rFonts w:ascii="Times New Roman" w:eastAsia="Times New Roman" w:hAnsi="Times New Roman" w:cs="Times New Roman"/>
        </w:rPr>
      </w:pPr>
      <w:r w:rsidRPr="007C2077">
        <w:rPr>
          <w:rFonts w:ascii="Calibri" w:eastAsia="Times New Roman" w:hAnsi="Calibri" w:cs="Times New Roman"/>
          <w:noProof/>
          <w:lang w:val="es-ES"/>
        </w:rPr>
        <mc:AlternateContent>
          <mc:Choice Requires="wpc">
            <w:drawing>
              <wp:inline distT="0" distB="0" distL="0" distR="0" wp14:anchorId="71F7EB3D" wp14:editId="0649894D">
                <wp:extent cx="5486400" cy="5737860"/>
                <wp:effectExtent l="0" t="0" r="38100" b="0"/>
                <wp:docPr id="233" name="Lienzo 2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4" name="Cuadro de texto 2"/>
                        <wps:cNvSpPr txBox="1">
                          <a:spLocks noChangeArrowheads="1"/>
                        </wps:cNvSpPr>
                        <wps:spPr bwMode="auto">
                          <a:xfrm>
                            <a:off x="794700" y="2432390"/>
                            <a:ext cx="3863900" cy="7018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6D08C226" w14:textId="77777777" w:rsidR="007A1A58" w:rsidRDefault="007A1A58" w:rsidP="007C2077">
                              <w:pPr>
                                <w:pStyle w:val="NormalWeb"/>
                                <w:spacing w:line="254" w:lineRule="auto"/>
                                <w:jc w:val="center"/>
                                <w:rPr>
                                  <w:sz w:val="22"/>
                                </w:rPr>
                              </w:pPr>
                              <w:r>
                                <w:rPr>
                                  <w:rFonts w:eastAsia="MS Mincho"/>
                                  <w:sz w:val="18"/>
                                  <w:szCs w:val="20"/>
                                </w:rPr>
                                <w:t>Las entidades y dependencias de la Administración Pública Federal mejoran sus capacidades</w:t>
                              </w:r>
                              <w:r>
                                <w:rPr>
                                  <w:rFonts w:eastAsia="MS Mincho"/>
                                  <w:b/>
                                  <w:bCs/>
                                  <w:sz w:val="18"/>
                                  <w:szCs w:val="20"/>
                                </w:rPr>
                                <w:t xml:space="preserve"> —referidas a la generación y uso de conocimiento— en Ciencia, Tecnología e Innovación (CTI)</w:t>
                              </w:r>
                              <w:r>
                                <w:rPr>
                                  <w:rFonts w:eastAsia="MS Mincho"/>
                                  <w:sz w:val="18"/>
                                  <w:szCs w:val="20"/>
                                </w:rPr>
                                <w:t xml:space="preserve"> para atender las demandas públicas y sus obligaciones legalmente estipuladas.</w:t>
                              </w:r>
                            </w:p>
                          </w:txbxContent>
                        </wps:txbx>
                        <wps:bodyPr rot="0" vert="horz" wrap="square" lIns="91440" tIns="45720" rIns="91440" bIns="45720" anchor="t" anchorCtr="0" upright="1">
                          <a:noAutofit/>
                        </wps:bodyPr>
                      </wps:wsp>
                      <wps:wsp>
                        <wps:cNvPr id="205" name="Cuadro de texto 2"/>
                        <wps:cNvSpPr txBox="1">
                          <a:spLocks noChangeArrowheads="1"/>
                        </wps:cNvSpPr>
                        <wps:spPr bwMode="auto">
                          <a:xfrm>
                            <a:off x="2815800" y="1180140"/>
                            <a:ext cx="1237700" cy="8671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044AA959" w14:textId="77777777" w:rsidR="007A1A58" w:rsidRPr="00C618E6" w:rsidRDefault="007A1A58" w:rsidP="007C2077">
                              <w:pPr>
                                <w:pStyle w:val="NormalWeb"/>
                                <w:spacing w:line="254" w:lineRule="auto"/>
                                <w:jc w:val="center"/>
                                <w:rPr>
                                  <w:sz w:val="16"/>
                                  <w:szCs w:val="16"/>
                                </w:rPr>
                              </w:pPr>
                              <w:r>
                                <w:rPr>
                                  <w:rFonts w:eastAsia="Calibri"/>
                                  <w:sz w:val="16"/>
                                  <w:szCs w:val="16"/>
                                </w:rPr>
                                <w:t>Fortalecimiento de las redes de organización y contribución entre los ámbitos para la atención de necesidades sectoriales en IDTI.</w:t>
                              </w:r>
                            </w:p>
                          </w:txbxContent>
                        </wps:txbx>
                        <wps:bodyPr rot="0" vert="horz" wrap="square" lIns="91440" tIns="45720" rIns="91440" bIns="45720" anchor="ctr" anchorCtr="0" upright="1">
                          <a:noAutofit/>
                        </wps:bodyPr>
                      </wps:wsp>
                      <wps:wsp>
                        <wps:cNvPr id="206" name="Cuadro de texto 2"/>
                        <wps:cNvSpPr txBox="1">
                          <a:spLocks noChangeArrowheads="1"/>
                        </wps:cNvSpPr>
                        <wps:spPr bwMode="auto">
                          <a:xfrm>
                            <a:off x="111600" y="1180139"/>
                            <a:ext cx="1237600" cy="867039"/>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6540EE08" w14:textId="77777777" w:rsidR="007A1A58" w:rsidRDefault="007A1A58" w:rsidP="007C2077">
                              <w:pPr>
                                <w:pStyle w:val="NormalWeb"/>
                                <w:spacing w:line="254" w:lineRule="auto"/>
                                <w:jc w:val="center"/>
                              </w:pPr>
                              <w:r>
                                <w:rPr>
                                  <w:rFonts w:eastAsia="Calibri"/>
                                  <w:sz w:val="16"/>
                                  <w:szCs w:val="16"/>
                                </w:rPr>
                                <w:t>Disminuye el rezago científico y tecnológico para la atención de las necesidades de los sectores de la APF.</w:t>
                              </w:r>
                            </w:p>
                          </w:txbxContent>
                        </wps:txbx>
                        <wps:bodyPr rot="0" vert="horz" wrap="square" lIns="91440" tIns="45720" rIns="91440" bIns="45720" anchor="ctr" anchorCtr="0" upright="1">
                          <a:noAutofit/>
                        </wps:bodyPr>
                      </wps:wsp>
                      <wps:wsp>
                        <wps:cNvPr id="207" name="Cuadro de texto 2"/>
                        <wps:cNvSpPr txBox="1">
                          <a:spLocks noChangeArrowheads="1"/>
                        </wps:cNvSpPr>
                        <wps:spPr bwMode="auto">
                          <a:xfrm>
                            <a:off x="1468400" y="1180140"/>
                            <a:ext cx="1237600" cy="8671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0C3A4BD2" w14:textId="77777777" w:rsidR="007A1A58" w:rsidRDefault="007A1A58" w:rsidP="007C2077">
                              <w:pPr>
                                <w:pStyle w:val="NormalWeb"/>
                                <w:spacing w:line="254" w:lineRule="auto"/>
                                <w:jc w:val="center"/>
                                <w:rPr>
                                  <w:sz w:val="17"/>
                                  <w:szCs w:val="17"/>
                                </w:rPr>
                              </w:pPr>
                              <w:r w:rsidRPr="00E15F7B">
                                <w:rPr>
                                  <w:rFonts w:eastAsia="Calibri"/>
                                  <w:sz w:val="16"/>
                                  <w:szCs w:val="16"/>
                                </w:rPr>
                                <w:t xml:space="preserve">Los </w:t>
                              </w:r>
                              <w:r>
                                <w:rPr>
                                  <w:rFonts w:eastAsia="Calibri"/>
                                  <w:sz w:val="16"/>
                                  <w:szCs w:val="16"/>
                                </w:rPr>
                                <w:t xml:space="preserve">sectores disminuyen su </w:t>
                              </w:r>
                              <w:r w:rsidRPr="00E15F7B">
                                <w:rPr>
                                  <w:rFonts w:eastAsia="Calibri"/>
                                  <w:sz w:val="16"/>
                                  <w:szCs w:val="16"/>
                                </w:rPr>
                                <w:t>dependencia tecnológica de terceros fuera del país</w:t>
                              </w:r>
                              <w:r>
                                <w:rPr>
                                  <w:rFonts w:eastAsia="Calibri"/>
                                  <w:sz w:val="16"/>
                                  <w:szCs w:val="16"/>
                                </w:rPr>
                                <w:t>.</w:t>
                              </w:r>
                              <w:r w:rsidRPr="00E15F7B">
                                <w:rPr>
                                  <w:rFonts w:eastAsia="Calibri"/>
                                  <w:sz w:val="16"/>
                                  <w:szCs w:val="16"/>
                                </w:rPr>
                                <w:t xml:space="preserve"> </w:t>
                              </w:r>
                            </w:p>
                          </w:txbxContent>
                        </wps:txbx>
                        <wps:bodyPr rot="0" vert="horz" wrap="square" lIns="91440" tIns="45720" rIns="91440" bIns="45720" anchor="ctr" anchorCtr="0" upright="1">
                          <a:noAutofit/>
                        </wps:bodyPr>
                      </wps:wsp>
                      <wps:wsp>
                        <wps:cNvPr id="208" name="Cuadro de texto 2"/>
                        <wps:cNvSpPr txBox="1">
                          <a:spLocks noChangeArrowheads="1"/>
                        </wps:cNvSpPr>
                        <wps:spPr bwMode="auto">
                          <a:xfrm>
                            <a:off x="36800" y="449620"/>
                            <a:ext cx="5370300" cy="389319"/>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235F347C" w14:textId="77777777" w:rsidR="007A1A58" w:rsidRDefault="007A1A58" w:rsidP="007C2077">
                              <w:pPr>
                                <w:pStyle w:val="NormalWeb"/>
                                <w:spacing w:line="254" w:lineRule="auto"/>
                                <w:jc w:val="center"/>
                              </w:pPr>
                              <w:r w:rsidRPr="00AF2BDD">
                                <w:rPr>
                                  <w:rFonts w:eastAsia="Calibri"/>
                                  <w:sz w:val="18"/>
                                  <w:szCs w:val="18"/>
                                </w:rPr>
                                <w:t xml:space="preserve"> </w:t>
                              </w:r>
                              <w:r w:rsidRPr="006D0713">
                                <w:rPr>
                                  <w:rFonts w:eastAsia="Calibri"/>
                                  <w:sz w:val="18"/>
                                  <w:szCs w:val="18"/>
                                </w:rPr>
                                <w:t>Contribuir al desarrollo económico incluyente mediante la generación de capacidades en ciencia, tecnología e innovación de los Sectores de la Administración Pública Federal (APF)</w:t>
                              </w:r>
                            </w:p>
                          </w:txbxContent>
                        </wps:txbx>
                        <wps:bodyPr rot="0" vert="horz" wrap="square" lIns="91440" tIns="45720" rIns="91440" bIns="45720" anchor="b" anchorCtr="0" upright="1">
                          <a:noAutofit/>
                        </wps:bodyPr>
                      </wps:wsp>
                      <wps:wsp>
                        <wps:cNvPr id="209" name="Cuadro de texto 2"/>
                        <wps:cNvSpPr txBox="1">
                          <a:spLocks noChangeArrowheads="1"/>
                        </wps:cNvSpPr>
                        <wps:spPr bwMode="auto">
                          <a:xfrm>
                            <a:off x="9300" y="3461690"/>
                            <a:ext cx="1696800" cy="9544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79991113" w14:textId="77777777" w:rsidR="007A1A58" w:rsidRDefault="007A1A58" w:rsidP="007C2077">
                              <w:pPr>
                                <w:pStyle w:val="NormalWeb"/>
                                <w:spacing w:line="254" w:lineRule="auto"/>
                                <w:jc w:val="center"/>
                                <w:rPr>
                                  <w:sz w:val="17"/>
                                  <w:szCs w:val="17"/>
                                </w:rPr>
                              </w:pPr>
                              <w:r>
                                <w:rPr>
                                  <w:rFonts w:eastAsia="Calibri"/>
                                  <w:sz w:val="17"/>
                                  <w:szCs w:val="17"/>
                                </w:rPr>
                                <w:t>Elevada participación del sector privado como fuente de financiamiento para actividades destinadas a IDTI.</w:t>
                              </w:r>
                            </w:p>
                          </w:txbxContent>
                        </wps:txbx>
                        <wps:bodyPr rot="0" vert="horz" wrap="square" lIns="91440" tIns="45720" rIns="91440" bIns="45720" anchor="ctr" anchorCtr="0" upright="1">
                          <a:noAutofit/>
                        </wps:bodyPr>
                      </wps:wsp>
                      <wps:wsp>
                        <wps:cNvPr id="210" name="Cuadro de texto 2"/>
                        <wps:cNvSpPr txBox="1">
                          <a:spLocks noChangeArrowheads="1"/>
                        </wps:cNvSpPr>
                        <wps:spPr bwMode="auto">
                          <a:xfrm>
                            <a:off x="1879800" y="3461690"/>
                            <a:ext cx="1696700" cy="9544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741D279E" w14:textId="77777777" w:rsidR="007A1A58" w:rsidRDefault="007A1A58" w:rsidP="007C2077">
                              <w:pPr>
                                <w:pStyle w:val="NormalWeb"/>
                                <w:spacing w:line="254" w:lineRule="auto"/>
                                <w:jc w:val="center"/>
                                <w:rPr>
                                  <w:sz w:val="17"/>
                                  <w:szCs w:val="17"/>
                                </w:rPr>
                              </w:pPr>
                              <w:r>
                                <w:rPr>
                                  <w:rFonts w:eastAsia="Calibri"/>
                                  <w:sz w:val="17"/>
                                  <w:szCs w:val="17"/>
                                </w:rPr>
                                <w:t>Los Sectores de la APF incrementan sus recursos financieros, técnicos y de infraestructura para sostener un sistema y realizar actividades de IDTI por sector.</w:t>
                              </w:r>
                            </w:p>
                          </w:txbxContent>
                        </wps:txbx>
                        <wps:bodyPr rot="0" vert="horz" wrap="square" lIns="91440" tIns="45720" rIns="91440" bIns="45720" anchor="ctr" anchorCtr="0" upright="1">
                          <a:noAutofit/>
                        </wps:bodyPr>
                      </wps:wsp>
                      <wps:wsp>
                        <wps:cNvPr id="211" name="Cuadro de texto 2"/>
                        <wps:cNvSpPr txBox="1">
                          <a:spLocks noChangeArrowheads="1"/>
                        </wps:cNvSpPr>
                        <wps:spPr bwMode="auto">
                          <a:xfrm>
                            <a:off x="3779600" y="3470990"/>
                            <a:ext cx="1696800" cy="9545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32F30A95" w14:textId="77777777" w:rsidR="007A1A58" w:rsidRDefault="007A1A58" w:rsidP="007C2077">
                              <w:pPr>
                                <w:pStyle w:val="NormalWeb"/>
                                <w:spacing w:line="254" w:lineRule="auto"/>
                                <w:jc w:val="center"/>
                              </w:pPr>
                              <w:r>
                                <w:rPr>
                                  <w:rFonts w:eastAsia="Calibri"/>
                                  <w:sz w:val="16"/>
                                  <w:szCs w:val="16"/>
                                </w:rPr>
                                <w:t>Vinculación entre los Sectores de la APF, el sector privado, las Universidades y los Centros de investigación para concentrar esfuerzos en la generación de infraestructura y recursos humanos especializados en IDTI.</w:t>
                              </w:r>
                            </w:p>
                          </w:txbxContent>
                        </wps:txbx>
                        <wps:bodyPr rot="0" vert="horz" wrap="square" lIns="91440" tIns="45720" rIns="91440" bIns="45720" anchor="ctr" anchorCtr="0" upright="1">
                          <a:noAutofit/>
                        </wps:bodyPr>
                      </wps:wsp>
                      <wps:wsp>
                        <wps:cNvPr id="212" name="Cuadro de texto 2"/>
                        <wps:cNvSpPr txBox="1">
                          <a:spLocks noChangeArrowheads="1"/>
                        </wps:cNvSpPr>
                        <wps:spPr bwMode="auto">
                          <a:xfrm>
                            <a:off x="1879400" y="4639640"/>
                            <a:ext cx="1696800" cy="7731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1307A3D9" w14:textId="77777777" w:rsidR="007A1A58" w:rsidRDefault="007A1A58" w:rsidP="007C2077">
                              <w:pPr>
                                <w:pStyle w:val="NormalWeb"/>
                                <w:spacing w:line="254" w:lineRule="auto"/>
                                <w:jc w:val="center"/>
                                <w:rPr>
                                  <w:sz w:val="16"/>
                                  <w:szCs w:val="16"/>
                                </w:rPr>
                              </w:pPr>
                              <w:r>
                                <w:rPr>
                                  <w:rFonts w:eastAsia="Calibri"/>
                                  <w:sz w:val="16"/>
                                  <w:szCs w:val="16"/>
                                </w:rPr>
                                <w:t>Amplia vinculación entre los sectores de la APF con otros actores para la articulación, aprovechamiento e impulso de las actividades en IDTI.</w:t>
                              </w:r>
                            </w:p>
                          </w:txbxContent>
                        </wps:txbx>
                        <wps:bodyPr rot="0" vert="horz" wrap="square" lIns="91440" tIns="45720" rIns="91440" bIns="45720" anchor="ctr" anchorCtr="0" upright="1">
                          <a:noAutofit/>
                        </wps:bodyPr>
                      </wps:wsp>
                      <wps:wsp>
                        <wps:cNvPr id="213" name="Cuadro de texto 2"/>
                        <wps:cNvSpPr txBox="1">
                          <a:spLocks noChangeArrowheads="1"/>
                        </wps:cNvSpPr>
                        <wps:spPr bwMode="auto">
                          <a:xfrm>
                            <a:off x="9500" y="4639640"/>
                            <a:ext cx="1696700" cy="7731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6508FA64" w14:textId="77777777" w:rsidR="007A1A58" w:rsidRDefault="007A1A58" w:rsidP="007C2077">
                              <w:pPr>
                                <w:pStyle w:val="NormalWeb"/>
                                <w:spacing w:line="254" w:lineRule="auto"/>
                                <w:jc w:val="center"/>
                                <w:rPr>
                                  <w:sz w:val="17"/>
                                  <w:szCs w:val="17"/>
                                </w:rPr>
                              </w:pPr>
                              <w:r>
                                <w:rPr>
                                  <w:rFonts w:eastAsia="Calibri"/>
                                  <w:sz w:val="17"/>
                                  <w:szCs w:val="17"/>
                                </w:rPr>
                                <w:t>Los procesos de desarrollo e innovación se realizan a bajo costo y generan altas utilidades que incentivan la participación del sector privado.</w:t>
                              </w:r>
                            </w:p>
                          </w:txbxContent>
                        </wps:txbx>
                        <wps:bodyPr rot="0" vert="horz" wrap="square" lIns="91440" tIns="45720" rIns="91440" bIns="45720" anchor="ctr" anchorCtr="0" upright="1">
                          <a:noAutofit/>
                        </wps:bodyPr>
                      </wps:wsp>
                      <wps:wsp>
                        <wps:cNvPr id="214" name="Cuadro de texto 2"/>
                        <wps:cNvSpPr txBox="1">
                          <a:spLocks noChangeArrowheads="1"/>
                        </wps:cNvSpPr>
                        <wps:spPr bwMode="auto">
                          <a:xfrm>
                            <a:off x="3779400" y="4639640"/>
                            <a:ext cx="1697400" cy="773100"/>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13FF03DA" w14:textId="77777777" w:rsidR="007A1A58" w:rsidRDefault="007A1A58" w:rsidP="007C2077">
                              <w:pPr>
                                <w:pStyle w:val="NormalWeb"/>
                                <w:spacing w:after="160" w:line="254" w:lineRule="auto"/>
                                <w:jc w:val="center"/>
                                <w:rPr>
                                  <w:sz w:val="17"/>
                                  <w:szCs w:val="17"/>
                                </w:rPr>
                              </w:pPr>
                              <w:r>
                                <w:rPr>
                                  <w:rFonts w:eastAsia="Calibri"/>
                                  <w:sz w:val="17"/>
                                  <w:szCs w:val="17"/>
                                </w:rPr>
                                <w:t>Generación de acuerdos entre los Sectores de la APF con CONACYT en la atención de las demandas en IDTI.</w:t>
                              </w:r>
                            </w:p>
                          </w:txbxContent>
                        </wps:txbx>
                        <wps:bodyPr rot="0" vert="horz" wrap="square" lIns="91440" tIns="45720" rIns="91440" bIns="45720" anchor="ctr" anchorCtr="0" upright="1">
                          <a:noAutofit/>
                        </wps:bodyPr>
                      </wps:wsp>
                      <wps:wsp>
                        <wps:cNvPr id="215" name="Cuadro de texto 2"/>
                        <wps:cNvSpPr txBox="1">
                          <a:spLocks noChangeArrowheads="1"/>
                        </wps:cNvSpPr>
                        <wps:spPr bwMode="auto">
                          <a:xfrm>
                            <a:off x="4153900" y="1180139"/>
                            <a:ext cx="1237000" cy="867039"/>
                          </a:xfrm>
                          <a:prstGeom prst="rect">
                            <a:avLst/>
                          </a:prstGeom>
                          <a:solidFill>
                            <a:sysClr val="window" lastClr="FFFFFF">
                              <a:lumMod val="100000"/>
                              <a:lumOff val="0"/>
                            </a:sysClr>
                          </a:solidFill>
                          <a:ln w="12700">
                            <a:solidFill>
                              <a:srgbClr val="4F81BD">
                                <a:lumMod val="100000"/>
                                <a:lumOff val="0"/>
                              </a:srgbClr>
                            </a:solidFill>
                            <a:miter lim="800000"/>
                            <a:headEnd/>
                            <a:tailEnd/>
                          </a:ln>
                          <a:effectLst>
                            <a:outerShdw dist="38100" dir="2700000" algn="tl" rotWithShape="0">
                              <a:srgbClr val="000000">
                                <a:alpha val="39999"/>
                              </a:srgbClr>
                            </a:outerShdw>
                          </a:effectLst>
                        </wps:spPr>
                        <wps:txbx>
                          <w:txbxContent>
                            <w:p w14:paraId="6D50AA48" w14:textId="77777777" w:rsidR="007A1A58" w:rsidRDefault="007A1A58" w:rsidP="007C2077">
                              <w:pPr>
                                <w:pStyle w:val="NormalWeb"/>
                                <w:spacing w:line="254" w:lineRule="auto"/>
                                <w:jc w:val="center"/>
                              </w:pPr>
                              <w:r w:rsidRPr="00C005AC">
                                <w:rPr>
                                  <w:rFonts w:eastAsia="Calibri"/>
                                  <w:sz w:val="16"/>
                                  <w:szCs w:val="16"/>
                                </w:rPr>
                                <w:t xml:space="preserve">Aprovechamiento </w:t>
                              </w:r>
                              <w:r w:rsidRPr="00E15F7B">
                                <w:rPr>
                                  <w:rFonts w:eastAsia="Calibri"/>
                                  <w:sz w:val="16"/>
                                  <w:szCs w:val="16"/>
                                </w:rPr>
                                <w:t>y vinculación</w:t>
                              </w:r>
                              <w:r w:rsidRPr="00C005AC">
                                <w:rPr>
                                  <w:rFonts w:eastAsia="Calibri"/>
                                  <w:sz w:val="16"/>
                                  <w:szCs w:val="16"/>
                                </w:rPr>
                                <w:t xml:space="preserve"> de capacidades en ciencia, tecnología e innovación instalada.</w:t>
                              </w:r>
                            </w:p>
                          </w:txbxContent>
                        </wps:txbx>
                        <wps:bodyPr rot="0" vert="horz" wrap="square" lIns="91440" tIns="45720" rIns="91440" bIns="45720" anchor="ctr" anchorCtr="0" upright="1">
                          <a:noAutofit/>
                        </wps:bodyPr>
                      </wps:wsp>
                      <wps:wsp>
                        <wps:cNvPr id="216" name="Conector angular 201"/>
                        <wps:cNvCnPr>
                          <a:cxnSpLocks noChangeShapeType="1"/>
                          <a:stCxn id="206" idx="0"/>
                          <a:endCxn id="208" idx="2"/>
                        </wps:cNvCnPr>
                        <wps:spPr bwMode="auto">
                          <a:xfrm rot="5400000" flipH="1" flipV="1">
                            <a:off x="1555575" y="13764"/>
                            <a:ext cx="341200" cy="199155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18" name="Conector angular 202"/>
                        <wps:cNvCnPr>
                          <a:cxnSpLocks noChangeShapeType="1"/>
                          <a:stCxn id="207" idx="0"/>
                          <a:endCxn id="208" idx="2"/>
                        </wps:cNvCnPr>
                        <wps:spPr bwMode="auto">
                          <a:xfrm rot="5400000" flipH="1" flipV="1">
                            <a:off x="2233975" y="692165"/>
                            <a:ext cx="341201" cy="63475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19" name="Conector angular 203"/>
                        <wps:cNvCnPr>
                          <a:cxnSpLocks noChangeShapeType="1"/>
                          <a:stCxn id="205" idx="0"/>
                          <a:endCxn id="208" idx="2"/>
                        </wps:cNvCnPr>
                        <wps:spPr bwMode="auto">
                          <a:xfrm rot="16200000" flipV="1">
                            <a:off x="2907700" y="653190"/>
                            <a:ext cx="341201" cy="71270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20" name="Conector angular 204"/>
                        <wps:cNvCnPr>
                          <a:cxnSpLocks noChangeShapeType="1"/>
                          <a:stCxn id="215" idx="0"/>
                          <a:endCxn id="208" idx="2"/>
                        </wps:cNvCnPr>
                        <wps:spPr bwMode="auto">
                          <a:xfrm rot="16200000" flipV="1">
                            <a:off x="3576575" y="-15686"/>
                            <a:ext cx="341200" cy="205045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21" name="Conector angular 1"/>
                        <wps:cNvCnPr>
                          <a:cxnSpLocks noChangeShapeType="1"/>
                          <a:stCxn id="204" idx="0"/>
                          <a:endCxn id="206" idx="2"/>
                        </wps:cNvCnPr>
                        <wps:spPr bwMode="auto">
                          <a:xfrm rot="16200000" flipV="1">
                            <a:off x="1535919" y="1241659"/>
                            <a:ext cx="385212" cy="199625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22" name="Conector angular 15"/>
                        <wps:cNvCnPr>
                          <a:cxnSpLocks noChangeShapeType="1"/>
                          <a:stCxn id="204" idx="0"/>
                          <a:endCxn id="207" idx="2"/>
                        </wps:cNvCnPr>
                        <wps:spPr bwMode="auto">
                          <a:xfrm rot="16200000" flipV="1">
                            <a:off x="2214350" y="1920090"/>
                            <a:ext cx="385150" cy="63945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23" name="Conector angular 16"/>
                        <wps:cNvCnPr>
                          <a:cxnSpLocks noChangeShapeType="1"/>
                          <a:stCxn id="204" idx="0"/>
                          <a:endCxn id="205" idx="2"/>
                        </wps:cNvCnPr>
                        <wps:spPr bwMode="auto">
                          <a:xfrm rot="5400000" flipH="1" flipV="1">
                            <a:off x="2888075" y="1885815"/>
                            <a:ext cx="385150" cy="70800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24" name="Conector angular 17"/>
                        <wps:cNvCnPr>
                          <a:cxnSpLocks noChangeShapeType="1"/>
                          <a:stCxn id="204" idx="0"/>
                          <a:endCxn id="215" idx="2"/>
                        </wps:cNvCnPr>
                        <wps:spPr bwMode="auto">
                          <a:xfrm rot="5400000" flipH="1" flipV="1">
                            <a:off x="3556919" y="1216909"/>
                            <a:ext cx="385212" cy="204575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25" name="Conector angular 18"/>
                        <wps:cNvCnPr>
                          <a:cxnSpLocks noChangeShapeType="1"/>
                          <a:stCxn id="209" idx="0"/>
                          <a:endCxn id="204" idx="2"/>
                        </wps:cNvCnPr>
                        <wps:spPr bwMode="auto">
                          <a:xfrm rot="5400000" flipH="1" flipV="1">
                            <a:off x="1628425" y="2363465"/>
                            <a:ext cx="327500" cy="186895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26" name="Conector angular 20"/>
                        <wps:cNvCnPr>
                          <a:cxnSpLocks noChangeShapeType="1"/>
                          <a:stCxn id="211" idx="0"/>
                          <a:endCxn id="204" idx="2"/>
                        </wps:cNvCnPr>
                        <wps:spPr bwMode="auto">
                          <a:xfrm rot="16200000" flipV="1">
                            <a:off x="3508925" y="2351915"/>
                            <a:ext cx="336800" cy="1901350"/>
                          </a:xfrm>
                          <a:prstGeom prst="bentConnector3">
                            <a:avLst>
                              <a:gd name="adj1" fmla="val 50000"/>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27" name="Conector recto de flecha 23"/>
                        <wps:cNvCnPr>
                          <a:cxnSpLocks noChangeShapeType="1"/>
                          <a:stCxn id="214" idx="0"/>
                          <a:endCxn id="211" idx="2"/>
                        </wps:cNvCnPr>
                        <wps:spPr bwMode="auto">
                          <a:xfrm flipH="1" flipV="1">
                            <a:off x="4628000" y="4425490"/>
                            <a:ext cx="100" cy="214150"/>
                          </a:xfrm>
                          <a:prstGeom prst="straightConnector1">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28" name="Conector recto de flecha 24"/>
                        <wps:cNvCnPr>
                          <a:cxnSpLocks noChangeShapeType="1"/>
                          <a:stCxn id="212" idx="0"/>
                          <a:endCxn id="210" idx="2"/>
                        </wps:cNvCnPr>
                        <wps:spPr bwMode="auto">
                          <a:xfrm flipV="1">
                            <a:off x="2727800" y="4416090"/>
                            <a:ext cx="350" cy="223550"/>
                          </a:xfrm>
                          <a:prstGeom prst="straightConnector1">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29" name="Conector recto de flecha 25"/>
                        <wps:cNvCnPr>
                          <a:cxnSpLocks noChangeShapeType="1"/>
                          <a:stCxn id="213" idx="0"/>
                          <a:endCxn id="209" idx="2"/>
                        </wps:cNvCnPr>
                        <wps:spPr bwMode="auto">
                          <a:xfrm flipH="1" flipV="1">
                            <a:off x="857700" y="4416090"/>
                            <a:ext cx="150" cy="223550"/>
                          </a:xfrm>
                          <a:prstGeom prst="straightConnector1">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30" name="Conector recto de flecha 26"/>
                        <wps:cNvCnPr>
                          <a:cxnSpLocks noChangeShapeType="1"/>
                          <a:stCxn id="210" idx="0"/>
                          <a:endCxn id="204" idx="2"/>
                        </wps:cNvCnPr>
                        <wps:spPr bwMode="auto">
                          <a:xfrm flipH="1" flipV="1">
                            <a:off x="2726650" y="3134190"/>
                            <a:ext cx="1500" cy="327500"/>
                          </a:xfrm>
                          <a:prstGeom prst="straightConnector1">
                            <a:avLst/>
                          </a:prstGeom>
                          <a:noFill/>
                          <a:ln w="6350">
                            <a:solidFill>
                              <a:srgbClr val="4F81BD">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31" name="Cuadro de texto 2"/>
                        <wps:cNvSpPr txBox="1">
                          <a:spLocks noChangeArrowheads="1"/>
                        </wps:cNvSpPr>
                        <wps:spPr bwMode="auto">
                          <a:xfrm>
                            <a:off x="2391380" y="5504860"/>
                            <a:ext cx="717500" cy="23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8EF47" w14:textId="77777777" w:rsidR="007A1A58" w:rsidRDefault="007A1A58" w:rsidP="007C2077">
                              <w:pPr>
                                <w:pStyle w:val="NormalWeb"/>
                                <w:spacing w:after="160" w:line="254" w:lineRule="auto"/>
                                <w:jc w:val="center"/>
                              </w:pPr>
                              <w:r>
                                <w:rPr>
                                  <w:rFonts w:ascii="Calibri" w:eastAsia="Calibri" w:hAnsi="Calibri"/>
                                  <w:b/>
                                  <w:bCs/>
                                  <w:sz w:val="22"/>
                                  <w:szCs w:val="22"/>
                                </w:rPr>
                                <w:t>Medios</w:t>
                              </w:r>
                            </w:p>
                          </w:txbxContent>
                        </wps:txbx>
                        <wps:bodyPr rot="0" vert="horz" wrap="square" lIns="91440" tIns="45720" rIns="91440" bIns="45720" anchor="t" anchorCtr="0" upright="1">
                          <a:noAutofit/>
                        </wps:bodyPr>
                      </wps:wsp>
                      <wps:wsp>
                        <wps:cNvPr id="232" name="Cuadro de texto 2"/>
                        <wps:cNvSpPr txBox="1">
                          <a:spLocks noChangeArrowheads="1"/>
                        </wps:cNvSpPr>
                        <wps:spPr bwMode="auto">
                          <a:xfrm>
                            <a:off x="2394935" y="25620"/>
                            <a:ext cx="717500" cy="23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2437C" w14:textId="77777777" w:rsidR="007A1A58" w:rsidRDefault="007A1A58" w:rsidP="007C2077">
                              <w:pPr>
                                <w:pStyle w:val="NormalWeb"/>
                                <w:spacing w:after="160" w:line="254" w:lineRule="auto"/>
                                <w:jc w:val="center"/>
                              </w:pPr>
                              <w:r>
                                <w:rPr>
                                  <w:rFonts w:ascii="Calibri" w:eastAsia="Calibri" w:hAnsi="Calibri"/>
                                  <w:b/>
                                  <w:bCs/>
                                  <w:sz w:val="22"/>
                                  <w:szCs w:val="22"/>
                                </w:rPr>
                                <w:t>Fines</w:t>
                              </w:r>
                            </w:p>
                          </w:txbxContent>
                        </wps:txbx>
                        <wps:bodyPr rot="0" vert="horz" wrap="square" lIns="91440" tIns="45720" rIns="91440" bIns="45720" anchor="t" anchorCtr="0" upright="1">
                          <a:noAutofit/>
                        </wps:bodyPr>
                      </wps:wsp>
                    </wpc:wpc>
                  </a:graphicData>
                </a:graphic>
              </wp:inline>
            </w:drawing>
          </mc:Choice>
          <mc:Fallback>
            <w:pict>
              <v:group w14:anchorId="71F7EB3D" id="Lienzo 233" o:spid="_x0000_s1066" editas="canvas" style="width:6in;height:451.8pt;mso-position-horizontal-relative:char;mso-position-vertical-relative:line" coordsize="54864,5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">
                <v:shape id="_x0000_s1067" type="#_x0000_t75" style="position:absolute;width:54864;height:57378;visibility:visible;mso-wrap-style:square">
                  <v:fill o:detectmouseclick="t"/>
                  <v:path o:connecttype="none"/>
                </v:shape>
                <v:shape id="_x0000_s1068" type="#_x0000_t202" style="position:absolute;left:7947;top:24323;width:38639;height: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" strokecolor="#4f81bd" strokeweight="1pt">
                  <v:shadow on="t" color="black" opacity="26213f" origin="-.5,-.5" offset=".74836mm,.74836mm"/>
                  <v:textbox>
                    <w:txbxContent>
                      <w:p w14:paraId="6D08C226" w14:textId="77777777" w:rsidR="007A1A58" w:rsidRDefault="007A1A58" w:rsidP="007C2077">
                        <w:pPr>
                          <w:pStyle w:val="NormalWeb"/>
                          <w:spacing w:line="254" w:lineRule="auto"/>
                          <w:jc w:val="center"/>
                          <w:rPr>
                            <w:sz w:val="22"/>
                          </w:rPr>
                        </w:pPr>
                        <w:r>
                          <w:rPr>
                            <w:rFonts w:eastAsia="MS Mincho"/>
                            <w:sz w:val="18"/>
                            <w:szCs w:val="20"/>
                          </w:rPr>
                          <w:t>Las entidades y dependencias de la Administración Pública Federal mejoran sus capacidades</w:t>
                        </w:r>
                        <w:r>
                          <w:rPr>
                            <w:rFonts w:eastAsia="MS Mincho"/>
                            <w:b/>
                            <w:bCs/>
                            <w:sz w:val="18"/>
                            <w:szCs w:val="20"/>
                          </w:rPr>
                          <w:t xml:space="preserve"> —referidas a la generación y uso de conocimiento— en Ciencia, Tecnología e Innovación (CTI)</w:t>
                        </w:r>
                        <w:r>
                          <w:rPr>
                            <w:rFonts w:eastAsia="MS Mincho"/>
                            <w:sz w:val="18"/>
                            <w:szCs w:val="20"/>
                          </w:rPr>
                          <w:t xml:space="preserve"> para atender las demandas públicas y sus obligaciones legalmente estipuladas.</w:t>
                        </w:r>
                      </w:p>
                    </w:txbxContent>
                  </v:textbox>
                </v:shape>
                <v:shape id="_x0000_s1069" type="#_x0000_t202" style="position:absolute;left:28158;top:11801;width:12377;height:8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" strokecolor="#4f81bd" strokeweight="1pt">
                  <v:shadow on="t" color="black" opacity="26213f" origin="-.5,-.5" offset=".74836mm,.74836mm"/>
                  <v:textbox>
                    <w:txbxContent>
                      <w:p w14:paraId="044AA959" w14:textId="77777777" w:rsidR="007A1A58" w:rsidRPr="00C618E6" w:rsidRDefault="007A1A58" w:rsidP="007C2077">
                        <w:pPr>
                          <w:pStyle w:val="NormalWeb"/>
                          <w:spacing w:line="254" w:lineRule="auto"/>
                          <w:jc w:val="center"/>
                          <w:rPr>
                            <w:sz w:val="16"/>
                            <w:szCs w:val="16"/>
                          </w:rPr>
                        </w:pPr>
                        <w:r>
                          <w:rPr>
                            <w:rFonts w:eastAsia="Calibri"/>
                            <w:sz w:val="16"/>
                            <w:szCs w:val="16"/>
                          </w:rPr>
                          <w:t>Fortalecimiento de las redes de organización y contribución entre los ámbitos para la atención de necesidades sectoriales en IDTI.</w:t>
                        </w:r>
                      </w:p>
                    </w:txbxContent>
                  </v:textbox>
                </v:shape>
                <v:shape id="_x0000_s1070" type="#_x0000_t202" style="position:absolute;left:1116;top:11801;width:12376;height: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" strokecolor="#4f81bd" strokeweight="1pt">
                  <v:shadow on="t" color="black" opacity="26213f" origin="-.5,-.5" offset=".74836mm,.74836mm"/>
                  <v:textbox>
                    <w:txbxContent>
                      <w:p w14:paraId="6540EE08" w14:textId="77777777" w:rsidR="007A1A58" w:rsidRDefault="007A1A58" w:rsidP="007C2077">
                        <w:pPr>
                          <w:pStyle w:val="NormalWeb"/>
                          <w:spacing w:line="254" w:lineRule="auto"/>
                          <w:jc w:val="center"/>
                        </w:pPr>
                        <w:r>
                          <w:rPr>
                            <w:rFonts w:eastAsia="Calibri"/>
                            <w:sz w:val="16"/>
                            <w:szCs w:val="16"/>
                          </w:rPr>
                          <w:t>Disminuye el rezago científico y tecnológico para la atención de las necesidades de los sectores de la APF.</w:t>
                        </w:r>
                      </w:p>
                    </w:txbxContent>
                  </v:textbox>
                </v:shape>
                <v:shape id="_x0000_s1071" type="#_x0000_t202" style="position:absolute;left:14684;top:11801;width:12376;height:8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" strokecolor="#4f81bd" strokeweight="1pt">
                  <v:shadow on="t" color="black" opacity="26213f" origin="-.5,-.5" offset=".74836mm,.74836mm"/>
                  <v:textbox>
                    <w:txbxContent>
                      <w:p w14:paraId="0C3A4BD2" w14:textId="77777777" w:rsidR="007A1A58" w:rsidRDefault="007A1A58" w:rsidP="007C2077">
                        <w:pPr>
                          <w:pStyle w:val="NormalWeb"/>
                          <w:spacing w:line="254" w:lineRule="auto"/>
                          <w:jc w:val="center"/>
                          <w:rPr>
                            <w:sz w:val="17"/>
                            <w:szCs w:val="17"/>
                          </w:rPr>
                        </w:pPr>
                        <w:r w:rsidRPr="00E15F7B">
                          <w:rPr>
                            <w:rFonts w:eastAsia="Calibri"/>
                            <w:sz w:val="16"/>
                            <w:szCs w:val="16"/>
                          </w:rPr>
                          <w:t xml:space="preserve">Los </w:t>
                        </w:r>
                        <w:r>
                          <w:rPr>
                            <w:rFonts w:eastAsia="Calibri"/>
                            <w:sz w:val="16"/>
                            <w:szCs w:val="16"/>
                          </w:rPr>
                          <w:t xml:space="preserve">sectores disminuyen su </w:t>
                        </w:r>
                        <w:r w:rsidRPr="00E15F7B">
                          <w:rPr>
                            <w:rFonts w:eastAsia="Calibri"/>
                            <w:sz w:val="16"/>
                            <w:szCs w:val="16"/>
                          </w:rPr>
                          <w:t>dependencia tecnológica de terceros fuera del país</w:t>
                        </w:r>
                        <w:r>
                          <w:rPr>
                            <w:rFonts w:eastAsia="Calibri"/>
                            <w:sz w:val="16"/>
                            <w:szCs w:val="16"/>
                          </w:rPr>
                          <w:t>.</w:t>
                        </w:r>
                        <w:r w:rsidRPr="00E15F7B">
                          <w:rPr>
                            <w:rFonts w:eastAsia="Calibri"/>
                            <w:sz w:val="16"/>
                            <w:szCs w:val="16"/>
                          </w:rPr>
                          <w:t xml:space="preserve"> </w:t>
                        </w:r>
                      </w:p>
                    </w:txbxContent>
                  </v:textbox>
                </v:shape>
                <v:shape id="_x0000_s1072" type="#_x0000_t202" style="position:absolute;left:368;top:4496;width:53703;height:389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" strokecolor="#4f81bd" strokeweight="1pt">
                  <v:shadow on="t" color="black" opacity="26213f" origin="-.5,-.5" offset=".74836mm,.74836mm"/>
                  <v:textbox>
                    <w:txbxContent>
                      <w:p w14:paraId="235F347C" w14:textId="77777777" w:rsidR="007A1A58" w:rsidRDefault="007A1A58" w:rsidP="007C2077">
                        <w:pPr>
                          <w:pStyle w:val="NormalWeb"/>
                          <w:spacing w:line="254" w:lineRule="auto"/>
                          <w:jc w:val="center"/>
                        </w:pPr>
                        <w:r w:rsidRPr="00AF2BDD">
                          <w:rPr>
                            <w:rFonts w:eastAsia="Calibri"/>
                            <w:sz w:val="18"/>
                            <w:szCs w:val="18"/>
                          </w:rPr>
                          <w:t xml:space="preserve"> </w:t>
                        </w:r>
                        <w:r w:rsidRPr="006D0713">
                          <w:rPr>
                            <w:rFonts w:eastAsia="Calibri"/>
                            <w:sz w:val="18"/>
                            <w:szCs w:val="18"/>
                          </w:rPr>
                          <w:t>Contribuir al desarrollo económico incluyente mediante la generación de capacidades en ciencia, tecnología e innovación de los Sectores de la Administración Pública Federal (APF)</w:t>
                        </w:r>
                      </w:p>
                    </w:txbxContent>
                  </v:textbox>
                </v:shape>
                <v:shape id="_x0000_s1073" type="#_x0000_t202" style="position:absolute;left:93;top:34616;width:16968;height:9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" strokecolor="#4f81bd" strokeweight="1pt">
                  <v:shadow on="t" color="black" opacity="26213f" origin="-.5,-.5" offset=".74836mm,.74836mm"/>
                  <v:textbox>
                    <w:txbxContent>
                      <w:p w14:paraId="79991113" w14:textId="77777777" w:rsidR="007A1A58" w:rsidRDefault="007A1A58" w:rsidP="007C2077">
                        <w:pPr>
                          <w:pStyle w:val="NormalWeb"/>
                          <w:spacing w:line="254" w:lineRule="auto"/>
                          <w:jc w:val="center"/>
                          <w:rPr>
                            <w:sz w:val="17"/>
                            <w:szCs w:val="17"/>
                          </w:rPr>
                        </w:pPr>
                        <w:r>
                          <w:rPr>
                            <w:rFonts w:eastAsia="Calibri"/>
                            <w:sz w:val="17"/>
                            <w:szCs w:val="17"/>
                          </w:rPr>
                          <w:t>Elevada participación del sector privado como fuente de financiamiento para actividades destinadas a IDTI.</w:t>
                        </w:r>
                      </w:p>
                    </w:txbxContent>
                  </v:textbox>
                </v:shape>
                <v:shape id="_x0000_s1074" type="#_x0000_t202" style="position:absolute;left:18798;top:34616;width:16967;height:9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" strokecolor="#4f81bd" strokeweight="1pt">
                  <v:shadow on="t" color="black" opacity="26213f" origin="-.5,-.5" offset=".74836mm,.74836mm"/>
                  <v:textbox>
                    <w:txbxContent>
                      <w:p w14:paraId="741D279E" w14:textId="77777777" w:rsidR="007A1A58" w:rsidRDefault="007A1A58" w:rsidP="007C2077">
                        <w:pPr>
                          <w:pStyle w:val="NormalWeb"/>
                          <w:spacing w:line="254" w:lineRule="auto"/>
                          <w:jc w:val="center"/>
                          <w:rPr>
                            <w:sz w:val="17"/>
                            <w:szCs w:val="17"/>
                          </w:rPr>
                        </w:pPr>
                        <w:r>
                          <w:rPr>
                            <w:rFonts w:eastAsia="Calibri"/>
                            <w:sz w:val="17"/>
                            <w:szCs w:val="17"/>
                          </w:rPr>
                          <w:t>Los Sectores de la APF incrementan sus recursos financieros, técnicos y de infraestructura para sostener un sistema y realizar actividades de IDTI por sector.</w:t>
                        </w:r>
                      </w:p>
                    </w:txbxContent>
                  </v:textbox>
                </v:shape>
                <v:shape id="_x0000_s1075" type="#_x0000_t202" style="position:absolute;left:37796;top:34709;width:16968;height: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" strokecolor="#4f81bd" strokeweight="1pt">
                  <v:shadow on="t" color="black" opacity="26213f" origin="-.5,-.5" offset=".74836mm,.74836mm"/>
                  <v:textbox>
                    <w:txbxContent>
                      <w:p w14:paraId="32F30A95" w14:textId="77777777" w:rsidR="007A1A58" w:rsidRDefault="007A1A58" w:rsidP="007C2077">
                        <w:pPr>
                          <w:pStyle w:val="NormalWeb"/>
                          <w:spacing w:line="254" w:lineRule="auto"/>
                          <w:jc w:val="center"/>
                        </w:pPr>
                        <w:r>
                          <w:rPr>
                            <w:rFonts w:eastAsia="Calibri"/>
                            <w:sz w:val="16"/>
                            <w:szCs w:val="16"/>
                          </w:rPr>
                          <w:t>Vinculación entre los Sectores de la APF, el sector privado, las Universidades y los Centros de investigación para concentrar esfuerzos en la generación de infraestructura y recursos humanos especializados en IDTI.</w:t>
                        </w:r>
                      </w:p>
                    </w:txbxContent>
                  </v:textbox>
                </v:shape>
                <v:shape id="_x0000_s1076" type="#_x0000_t202" style="position:absolute;left:18794;top:46396;width:16968;height:7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" strokecolor="#4f81bd" strokeweight="1pt">
                  <v:shadow on="t" color="black" opacity="26213f" origin="-.5,-.5" offset=".74836mm,.74836mm"/>
                  <v:textbox>
                    <w:txbxContent>
                      <w:p w14:paraId="1307A3D9" w14:textId="77777777" w:rsidR="007A1A58" w:rsidRDefault="007A1A58" w:rsidP="007C2077">
                        <w:pPr>
                          <w:pStyle w:val="NormalWeb"/>
                          <w:spacing w:line="254" w:lineRule="auto"/>
                          <w:jc w:val="center"/>
                          <w:rPr>
                            <w:sz w:val="16"/>
                            <w:szCs w:val="16"/>
                          </w:rPr>
                        </w:pPr>
                        <w:r>
                          <w:rPr>
                            <w:rFonts w:eastAsia="Calibri"/>
                            <w:sz w:val="16"/>
                            <w:szCs w:val="16"/>
                          </w:rPr>
                          <w:t>Amplia vinculación entre los sectores de la APF con otros actores para la articulación, aprovechamiento e impulso de las actividades en IDTI.</w:t>
                        </w:r>
                      </w:p>
                    </w:txbxContent>
                  </v:textbox>
                </v:shape>
                <v:shape id="_x0000_s1077" type="#_x0000_t202" style="position:absolute;left:95;top:46396;width:16967;height:7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" strokecolor="#4f81bd" strokeweight="1pt">
                  <v:shadow on="t" color="black" opacity="26213f" origin="-.5,-.5" offset=".74836mm,.74836mm"/>
                  <v:textbox>
                    <w:txbxContent>
                      <w:p w14:paraId="6508FA64" w14:textId="77777777" w:rsidR="007A1A58" w:rsidRDefault="007A1A58" w:rsidP="007C2077">
                        <w:pPr>
                          <w:pStyle w:val="NormalWeb"/>
                          <w:spacing w:line="254" w:lineRule="auto"/>
                          <w:jc w:val="center"/>
                          <w:rPr>
                            <w:sz w:val="17"/>
                            <w:szCs w:val="17"/>
                          </w:rPr>
                        </w:pPr>
                        <w:r>
                          <w:rPr>
                            <w:rFonts w:eastAsia="Calibri"/>
                            <w:sz w:val="17"/>
                            <w:szCs w:val="17"/>
                          </w:rPr>
                          <w:t>Los procesos de desarrollo e innovación se realizan a bajo costo y generan altas utilidades que incentivan la participación del sector privado.</w:t>
                        </w:r>
                      </w:p>
                    </w:txbxContent>
                  </v:textbox>
                </v:shape>
                <v:shape id="_x0000_s1078" type="#_x0000_t202" style="position:absolute;left:37794;top:46396;width:16974;height:7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" strokecolor="#4f81bd" strokeweight="1pt">
                  <v:shadow on="t" color="black" opacity="26213f" origin="-.5,-.5" offset=".74836mm,.74836mm"/>
                  <v:textbox>
                    <w:txbxContent>
                      <w:p w14:paraId="13FF03DA" w14:textId="77777777" w:rsidR="007A1A58" w:rsidRDefault="007A1A58" w:rsidP="007C2077">
                        <w:pPr>
                          <w:pStyle w:val="NormalWeb"/>
                          <w:spacing w:after="160" w:line="254" w:lineRule="auto"/>
                          <w:jc w:val="center"/>
                          <w:rPr>
                            <w:sz w:val="17"/>
                            <w:szCs w:val="17"/>
                          </w:rPr>
                        </w:pPr>
                        <w:r>
                          <w:rPr>
                            <w:rFonts w:eastAsia="Calibri"/>
                            <w:sz w:val="17"/>
                            <w:szCs w:val="17"/>
                          </w:rPr>
                          <w:t>Generación de acuerdos entre los Sectores de la APF con CONACYT en la atención de las demandas en IDTI.</w:t>
                        </w:r>
                      </w:p>
                    </w:txbxContent>
                  </v:textbox>
                </v:shape>
                <v:shape id="_x0000_s1079" type="#_x0000_t202" style="position:absolute;left:41539;top:11801;width:12370;height: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" strokecolor="#4f81bd" strokeweight="1pt">
                  <v:shadow on="t" color="black" opacity="26213f" origin="-.5,-.5" offset=".74836mm,.74836mm"/>
                  <v:textbox>
                    <w:txbxContent>
                      <w:p w14:paraId="6D50AA48" w14:textId="77777777" w:rsidR="007A1A58" w:rsidRDefault="007A1A58" w:rsidP="007C2077">
                        <w:pPr>
                          <w:pStyle w:val="NormalWeb"/>
                          <w:spacing w:line="254" w:lineRule="auto"/>
                          <w:jc w:val="center"/>
                        </w:pPr>
                        <w:r w:rsidRPr="00C005AC">
                          <w:rPr>
                            <w:rFonts w:eastAsia="Calibri"/>
                            <w:sz w:val="16"/>
                            <w:szCs w:val="16"/>
                          </w:rPr>
                          <w:t xml:space="preserve">Aprovechamiento </w:t>
                        </w:r>
                        <w:r w:rsidRPr="00E15F7B">
                          <w:rPr>
                            <w:rFonts w:eastAsia="Calibri"/>
                            <w:sz w:val="16"/>
                            <w:szCs w:val="16"/>
                          </w:rPr>
                          <w:t>y vinculación</w:t>
                        </w:r>
                        <w:r w:rsidRPr="00C005AC">
                          <w:rPr>
                            <w:rFonts w:eastAsia="Calibri"/>
                            <w:sz w:val="16"/>
                            <w:szCs w:val="16"/>
                          </w:rPr>
                          <w:t xml:space="preserve"> de capacidades en ciencia, tecnología e innovación instalada.</w:t>
                        </w:r>
                      </w:p>
                    </w:txbxContent>
                  </v:textbox>
                </v:shape>
                <v:shape id="Conector angular 201" o:spid="_x0000_s1080" type="#_x0000_t34" style="position:absolute;left:15556;top:137;width:3412;height:1991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" strokecolor="#4f81bd" strokeweight=".5pt">
                  <v:stroke endarrow="block"/>
                </v:shape>
                <v:shape id="Conector angular 202" o:spid="_x0000_s1081" type="#_x0000_t34" style="position:absolute;left:22340;top:6921;width:3412;height:634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" strokecolor="#4f81bd" strokeweight=".5pt">
                  <v:stroke endarrow="block"/>
                </v:shape>
                <v:shape id="Conector angular 203" o:spid="_x0000_s1082" type="#_x0000_t34" style="position:absolute;left:29077;top:6531;width:3412;height:712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" strokecolor="#4f81bd" strokeweight=".5pt">
                  <v:stroke endarrow="block"/>
                </v:shape>
                <v:shape id="Conector angular 204" o:spid="_x0000_s1083" type="#_x0000_t34" style="position:absolute;left:35766;top:-158;width:3412;height:2050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" strokecolor="#4f81bd" strokeweight=".5pt">
                  <v:stroke endarrow="block"/>
                </v:shape>
                <v:shape id="Conector angular 1" o:spid="_x0000_s1084" type="#_x0000_t34" style="position:absolute;left:15359;top:12416;width:3852;height:1996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" strokecolor="#4f81bd" strokeweight=".5pt">
                  <v:stroke endarrow="block"/>
                </v:shape>
                <v:shape id="Conector angular 15" o:spid="_x0000_s1085" type="#_x0000_t34" style="position:absolute;left:22143;top:19201;width:3851;height:639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" strokecolor="#4f81bd" strokeweight=".5pt">
                  <v:stroke endarrow="block"/>
                </v:shape>
                <v:shape id="Conector angular 16" o:spid="_x0000_s1086" type="#_x0000_t34" style="position:absolute;left:28880;top:18858;width:3851;height:708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" strokecolor="#4f81bd" strokeweight=".5pt">
                  <v:stroke endarrow="block"/>
                </v:shape>
                <v:shape id="Conector angular 17" o:spid="_x0000_s1087" type="#_x0000_t34" style="position:absolute;left:35569;top:12168;width:3852;height:2045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" strokecolor="#4f81bd" strokeweight=".5pt">
                  <v:stroke endarrow="block"/>
                </v:shape>
                <v:shape id="Conector angular 18" o:spid="_x0000_s1088" type="#_x0000_t34" style="position:absolute;left:16284;top:23634;width:3275;height:1868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" strokecolor="#4f81bd" strokeweight=".5pt">
                  <v:stroke endarrow="block"/>
                </v:shape>
                <v:shape id="Conector angular 20" o:spid="_x0000_s1089" type="#_x0000_t34" style="position:absolute;left:35089;top:23518;width:3368;height:190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" strokecolor="#4f81bd" strokeweight=".5pt">
                  <v:stroke endarrow="block"/>
                </v:shape>
                <v:shape id="Conector recto de flecha 23" o:spid="_x0000_s1090" type="#_x0000_t32" style="position:absolute;left:46280;top:44254;width:1;height:21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" strokecolor="#4f81bd" strokeweight=".5pt">
                  <v:stroke endarrow="block" joinstyle="miter"/>
                </v:shape>
                <v:shape id="Conector recto de flecha 24" o:spid="_x0000_s1091" type="#_x0000_t32" style="position:absolute;left:27278;top:44160;width:3;height:22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" strokecolor="#4f81bd" strokeweight=".5pt">
                  <v:stroke endarrow="block" joinstyle="miter"/>
                </v:shape>
                <v:shape id="Conector recto de flecha 25" o:spid="_x0000_s1092" type="#_x0000_t32" style="position:absolute;left:8577;top:44160;width:1;height:22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" strokecolor="#4f81bd" strokeweight=".5pt">
                  <v:stroke endarrow="block" joinstyle="miter"/>
                </v:shape>
                <v:shape id="Conector recto de flecha 26" o:spid="_x0000_s1093" type="#_x0000_t32" style="position:absolute;left:27266;top:31341;width:15;height:32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" strokecolor="#4f81bd" strokeweight=".5pt">
                  <v:stroke endarrow="block" joinstyle="miter"/>
                </v:shape>
                <v:shape id="_x0000_s1094" type="#_x0000_t202" style="position:absolute;left:23913;top:55048;width:717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14:paraId="3078EF47" w14:textId="77777777" w:rsidR="007A1A58" w:rsidRDefault="007A1A58" w:rsidP="007C2077">
                        <w:pPr>
                          <w:pStyle w:val="NormalWeb"/>
                          <w:spacing w:after="160" w:line="254" w:lineRule="auto"/>
                          <w:jc w:val="center"/>
                        </w:pPr>
                        <w:r>
                          <w:rPr>
                            <w:rFonts w:ascii="Calibri" w:eastAsia="Calibri" w:hAnsi="Calibri"/>
                            <w:b/>
                            <w:bCs/>
                            <w:sz w:val="22"/>
                            <w:szCs w:val="22"/>
                          </w:rPr>
                          <w:t>Medios</w:t>
                        </w:r>
                      </w:p>
                    </w:txbxContent>
                  </v:textbox>
                </v:shape>
                <v:shape id="_x0000_s1095" type="#_x0000_t202" style="position:absolute;left:23949;top:256;width:7175;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" stroked="f">
                  <v:textbox>
                    <w:txbxContent>
                      <w:p w14:paraId="1812437C" w14:textId="77777777" w:rsidR="007A1A58" w:rsidRDefault="007A1A58" w:rsidP="007C2077">
                        <w:pPr>
                          <w:pStyle w:val="NormalWeb"/>
                          <w:spacing w:after="160" w:line="254" w:lineRule="auto"/>
                          <w:jc w:val="center"/>
                        </w:pPr>
                        <w:r>
                          <w:rPr>
                            <w:rFonts w:ascii="Calibri" w:eastAsia="Calibri" w:hAnsi="Calibri"/>
                            <w:b/>
                            <w:bCs/>
                            <w:sz w:val="22"/>
                            <w:szCs w:val="22"/>
                          </w:rPr>
                          <w:t>Fines</w:t>
                        </w:r>
                      </w:p>
                    </w:txbxContent>
                  </v:textbox>
                </v:shape>
                <w10:anchorlock/>
              </v:group>
            </w:pict>
          </mc:Fallback>
        </mc:AlternateContent>
      </w:r>
    </w:p>
    <w:p w14:paraId="3FC5140E" w14:textId="6F5B00EF" w:rsidR="007C2077" w:rsidRDefault="007C2077" w:rsidP="007C2077">
      <w:pPr>
        <w:rPr>
          <w:rFonts w:ascii="Arial" w:eastAsia="Times New Roman" w:hAnsi="Arial" w:cs="Arial"/>
        </w:rPr>
      </w:pPr>
    </w:p>
    <w:p w14:paraId="113FB1DC" w14:textId="6CD61D1C" w:rsidR="003421EF" w:rsidRDefault="003421EF" w:rsidP="007C2077">
      <w:pPr>
        <w:rPr>
          <w:rFonts w:ascii="Arial" w:eastAsia="Times New Roman" w:hAnsi="Arial" w:cs="Arial"/>
        </w:rPr>
      </w:pPr>
    </w:p>
    <w:p w14:paraId="6D27BAC6" w14:textId="12B3E738" w:rsidR="003421EF" w:rsidRDefault="003421EF" w:rsidP="007C2077">
      <w:pPr>
        <w:rPr>
          <w:rFonts w:ascii="Arial" w:eastAsia="Times New Roman" w:hAnsi="Arial" w:cs="Arial"/>
        </w:rPr>
      </w:pPr>
    </w:p>
    <w:p w14:paraId="1AB9FD34" w14:textId="4B79C136" w:rsidR="003421EF" w:rsidRDefault="003421EF" w:rsidP="007C2077">
      <w:pPr>
        <w:rPr>
          <w:rFonts w:ascii="Arial" w:eastAsia="Times New Roman" w:hAnsi="Arial" w:cs="Arial"/>
        </w:rPr>
      </w:pPr>
    </w:p>
    <w:p w14:paraId="069F2BFD" w14:textId="0876906D" w:rsidR="007C2077" w:rsidRPr="007C2077" w:rsidRDefault="007C2077" w:rsidP="00014207">
      <w:pPr>
        <w:pStyle w:val="Ttulo2"/>
        <w:rPr>
          <w:rFonts w:ascii="Times New Roman" w:eastAsia="Times New Roman" w:hAnsi="Times New Roman" w:cs="Times New Roman"/>
          <w:b/>
          <w:bCs/>
        </w:rPr>
      </w:pPr>
      <w:bookmarkStart w:id="31" w:name="_Toc32920327"/>
      <w:r w:rsidRPr="007C2077">
        <w:rPr>
          <w:rFonts w:ascii="Times New Roman" w:eastAsia="Times New Roman" w:hAnsi="Times New Roman" w:cs="Times New Roman"/>
          <w:b/>
          <w:bCs/>
        </w:rPr>
        <w:lastRenderedPageBreak/>
        <w:t>III.2. Determinación y justificación de los objetivos de la intervención</w:t>
      </w:r>
      <w:bookmarkEnd w:id="30"/>
      <w:bookmarkEnd w:id="31"/>
    </w:p>
    <w:p w14:paraId="236746A7" w14:textId="77777777" w:rsidR="007C2077" w:rsidRPr="007C2077" w:rsidRDefault="007C2077" w:rsidP="0005403A">
      <w:pPr>
        <w:spacing w:before="100" w:beforeAutospacing="1" w:line="360" w:lineRule="auto"/>
        <w:jc w:val="both"/>
        <w:rPr>
          <w:rFonts w:ascii="Times New Roman" w:eastAsia="Times New Roman" w:hAnsi="Times New Roman" w:cs="Times New Roman"/>
          <w:lang w:val="es-MX"/>
        </w:rPr>
      </w:pPr>
      <w:r w:rsidRPr="007C2077">
        <w:rPr>
          <w:rFonts w:ascii="Times New Roman" w:eastAsia="Times New Roman" w:hAnsi="Times New Roman" w:cs="Times New Roman"/>
        </w:rPr>
        <w:t xml:space="preserve">Con apego al Plan Nacional de Desarrollo </w:t>
      </w:r>
      <w:r w:rsidRPr="007C2077">
        <w:rPr>
          <w:rFonts w:ascii="Times New Roman" w:eastAsia="Times New Roman" w:hAnsi="Times New Roman" w:cs="Times New Roman"/>
          <w:lang w:val="es-MX"/>
        </w:rPr>
        <w:t>2019-2024 se establecen tres ejes generales, las cuales son:</w:t>
      </w:r>
    </w:p>
    <w:p w14:paraId="4C0E41EB" w14:textId="77777777" w:rsidR="007C2077" w:rsidRPr="007C2077" w:rsidRDefault="007C2077" w:rsidP="007C2077">
      <w:pPr>
        <w:spacing w:line="360" w:lineRule="auto"/>
        <w:jc w:val="both"/>
        <w:rPr>
          <w:rFonts w:ascii="Times New Roman" w:eastAsia="Times New Roman" w:hAnsi="Times New Roman" w:cs="Times New Roman"/>
          <w:lang w:val="es-MX"/>
        </w:rPr>
      </w:pPr>
    </w:p>
    <w:p w14:paraId="5A03B8A0" w14:textId="77777777" w:rsidR="007C2077" w:rsidRPr="007C2077" w:rsidRDefault="007C2077" w:rsidP="007C2077">
      <w:pPr>
        <w:numPr>
          <w:ilvl w:val="0"/>
          <w:numId w:val="7"/>
        </w:numPr>
        <w:spacing w:line="360" w:lineRule="auto"/>
        <w:contextualSpacing/>
        <w:jc w:val="both"/>
        <w:rPr>
          <w:rFonts w:ascii="Times New Roman" w:eastAsia="Times New Roman" w:hAnsi="Times New Roman" w:cs="Times New Roman"/>
          <w:lang w:val="es-MX"/>
        </w:rPr>
      </w:pPr>
      <w:r w:rsidRPr="007C2077">
        <w:rPr>
          <w:rFonts w:ascii="Times New Roman" w:eastAsia="Times New Roman" w:hAnsi="Times New Roman" w:cs="Times New Roman"/>
          <w:lang w:val="es-MX"/>
        </w:rPr>
        <w:t>Justicia y Estado de Derecho</w:t>
      </w:r>
    </w:p>
    <w:p w14:paraId="5BCEAD50" w14:textId="77777777" w:rsidR="007C2077" w:rsidRPr="007C2077" w:rsidRDefault="007C2077" w:rsidP="007C2077">
      <w:pPr>
        <w:numPr>
          <w:ilvl w:val="0"/>
          <w:numId w:val="7"/>
        </w:numPr>
        <w:spacing w:line="360" w:lineRule="auto"/>
        <w:contextualSpacing/>
        <w:jc w:val="both"/>
        <w:rPr>
          <w:rFonts w:ascii="Times New Roman" w:eastAsia="Times New Roman" w:hAnsi="Times New Roman" w:cs="Times New Roman"/>
          <w:lang w:val="es-MX"/>
        </w:rPr>
      </w:pPr>
      <w:r w:rsidRPr="007C2077">
        <w:rPr>
          <w:rFonts w:ascii="Times New Roman" w:eastAsia="Times New Roman" w:hAnsi="Times New Roman" w:cs="Times New Roman"/>
          <w:lang w:val="es-MX"/>
        </w:rPr>
        <w:t>Bienestar</w:t>
      </w:r>
    </w:p>
    <w:p w14:paraId="22DBB214" w14:textId="4CAFC27D" w:rsidR="007C2077" w:rsidRDefault="007C2077" w:rsidP="007C2077">
      <w:pPr>
        <w:numPr>
          <w:ilvl w:val="0"/>
          <w:numId w:val="7"/>
        </w:numPr>
        <w:spacing w:line="360" w:lineRule="auto"/>
        <w:contextualSpacing/>
        <w:jc w:val="both"/>
        <w:rPr>
          <w:rFonts w:ascii="Times New Roman" w:eastAsia="Times New Roman" w:hAnsi="Times New Roman" w:cs="Times New Roman"/>
          <w:lang w:val="es-MX"/>
        </w:rPr>
      </w:pPr>
      <w:r w:rsidRPr="007C2077">
        <w:rPr>
          <w:rFonts w:ascii="Times New Roman" w:eastAsia="Times New Roman" w:hAnsi="Times New Roman" w:cs="Times New Roman"/>
          <w:lang w:val="es-MX"/>
        </w:rPr>
        <w:t>Desarrollo Económico</w:t>
      </w:r>
    </w:p>
    <w:p w14:paraId="0DC50FDB" w14:textId="5BFDF1E4" w:rsidR="005D01D1" w:rsidRDefault="005D01D1" w:rsidP="005D01D1">
      <w:pPr>
        <w:spacing w:line="360" w:lineRule="auto"/>
        <w:contextualSpacing/>
        <w:jc w:val="both"/>
        <w:rPr>
          <w:rFonts w:ascii="Times New Roman" w:eastAsia="Times New Roman" w:hAnsi="Times New Roman" w:cs="Times New Roman"/>
          <w:lang w:val="es-MX"/>
        </w:rPr>
      </w:pPr>
    </w:p>
    <w:p w14:paraId="2880957C" w14:textId="4C866AE2" w:rsidR="005D01D1" w:rsidRPr="007C2077" w:rsidRDefault="002B1AF7" w:rsidP="005D01D1">
      <w:pPr>
        <w:spacing w:line="360" w:lineRule="auto"/>
        <w:contextualSpacing/>
        <w:jc w:val="both"/>
        <w:rPr>
          <w:rFonts w:ascii="Times New Roman" w:eastAsia="Times New Roman" w:hAnsi="Times New Roman" w:cs="Times New Roman"/>
          <w:lang w:val="es-MX"/>
        </w:rPr>
      </w:pPr>
      <w:r w:rsidRPr="00D1213C">
        <w:rPr>
          <w:rFonts w:ascii="Times New Roman" w:eastAsia="Times New Roman" w:hAnsi="Times New Roman" w:cs="Times New Roman"/>
          <w:lang w:val="es-MX"/>
        </w:rPr>
        <w:t xml:space="preserve">Para el caso del </w:t>
      </w:r>
      <w:proofErr w:type="spellStart"/>
      <w:r w:rsidRPr="00D1213C">
        <w:rPr>
          <w:rFonts w:ascii="Times New Roman" w:eastAsia="Times New Roman" w:hAnsi="Times New Roman" w:cs="Times New Roman"/>
          <w:lang w:val="es-MX"/>
        </w:rPr>
        <w:t>Pp</w:t>
      </w:r>
      <w:proofErr w:type="spellEnd"/>
      <w:r w:rsidRPr="00D1213C">
        <w:rPr>
          <w:rFonts w:ascii="Times New Roman" w:eastAsia="Times New Roman" w:hAnsi="Times New Roman" w:cs="Times New Roman"/>
          <w:lang w:val="es-MX"/>
        </w:rPr>
        <w:t xml:space="preserve"> S192, al igual que el resto de los programas de </w:t>
      </w:r>
      <w:r w:rsidR="008922A3">
        <w:rPr>
          <w:rFonts w:ascii="Times New Roman" w:eastAsia="Times New Roman" w:hAnsi="Times New Roman" w:cs="Times New Roman"/>
          <w:lang w:val="es-MX"/>
        </w:rPr>
        <w:t>CONACYT</w:t>
      </w:r>
      <w:r w:rsidRPr="00D1213C">
        <w:rPr>
          <w:rFonts w:ascii="Times New Roman" w:eastAsia="Times New Roman" w:hAnsi="Times New Roman" w:cs="Times New Roman"/>
          <w:lang w:val="es-MX"/>
        </w:rPr>
        <w:t>, estos se encuentran alineados al Eje General 3 “Desarr</w:t>
      </w:r>
      <w:r w:rsidR="002039A8" w:rsidRPr="00D1213C">
        <w:rPr>
          <w:rFonts w:ascii="Times New Roman" w:eastAsia="Times New Roman" w:hAnsi="Times New Roman" w:cs="Times New Roman"/>
          <w:lang w:val="es-MX"/>
        </w:rPr>
        <w:t>ollo Económico”. Por otra parte, una vez publicado el Programa Especial de Ciencia, Tecnología e Innovación (PECITI) 2019-2024, se realizará la alineación a dicho documento.</w:t>
      </w:r>
      <w:r w:rsidR="002039A8">
        <w:rPr>
          <w:rFonts w:ascii="Times New Roman" w:eastAsia="Times New Roman" w:hAnsi="Times New Roman" w:cs="Times New Roman"/>
          <w:lang w:val="es-MX"/>
        </w:rPr>
        <w:t xml:space="preserve"> </w:t>
      </w:r>
    </w:p>
    <w:p w14:paraId="1EEA6A34" w14:textId="152692CF" w:rsidR="007C2077" w:rsidRPr="007C2077" w:rsidRDefault="007C2077" w:rsidP="007C2077">
      <w:pPr>
        <w:spacing w:line="360" w:lineRule="auto"/>
        <w:jc w:val="both"/>
        <w:rPr>
          <w:rFonts w:ascii="Times New Roman" w:eastAsia="Times New Roman" w:hAnsi="Times New Roman" w:cs="Times New Roman"/>
          <w:lang w:val="es-MX"/>
        </w:rPr>
      </w:pPr>
    </w:p>
    <w:p w14:paraId="21F91486" w14:textId="795C71AC" w:rsidR="007C2077" w:rsidRPr="007C2077" w:rsidRDefault="007C2077" w:rsidP="007C2077">
      <w:pPr>
        <w:spacing w:line="360" w:lineRule="auto"/>
        <w:jc w:val="both"/>
        <w:rPr>
          <w:rFonts w:ascii="Times New Roman" w:eastAsia="Times New Roman" w:hAnsi="Times New Roman" w:cs="Times New Roman"/>
          <w:lang w:val="es-MX"/>
        </w:rPr>
      </w:pPr>
      <w:r w:rsidRPr="007C2077">
        <w:rPr>
          <w:rFonts w:ascii="Times New Roman" w:eastAsia="Times New Roman" w:hAnsi="Times New Roman" w:cs="Times New Roman"/>
          <w:lang w:val="es-MX"/>
        </w:rPr>
        <w:t>México es considerado por el Banco Mundial (BM)</w:t>
      </w:r>
      <w:r w:rsidRPr="007C2077">
        <w:rPr>
          <w:rFonts w:ascii="Times New Roman" w:eastAsia="Times New Roman" w:hAnsi="Times New Roman" w:cs="Times New Roman"/>
          <w:vertAlign w:val="superscript"/>
          <w:lang w:val="es-MX"/>
        </w:rPr>
        <w:footnoteReference w:id="3"/>
      </w:r>
      <w:r w:rsidRPr="007C2077">
        <w:rPr>
          <w:rFonts w:ascii="Times New Roman" w:eastAsia="Times New Roman" w:hAnsi="Times New Roman" w:cs="Times New Roman"/>
          <w:lang w:val="es-MX"/>
        </w:rPr>
        <w:t xml:space="preserve"> como una economía emergente y un país de Renta Media Alta (PRM) además de contar con membresía en distintos organismos internacionales como la ONU, OCDE, OMC, UNESCO, entre otros y haber suscrito diversos acuerdos en el ámbito de la CTI los escenarios anteriores son resultado de la importancia que ha adquirido el quehacer científico y tecnológico en los últimos años.</w:t>
      </w:r>
    </w:p>
    <w:p w14:paraId="6B952507" w14:textId="77777777" w:rsidR="007C2077" w:rsidRPr="007C2077" w:rsidRDefault="007C2077" w:rsidP="007C2077">
      <w:pPr>
        <w:spacing w:line="360" w:lineRule="auto"/>
        <w:jc w:val="both"/>
        <w:rPr>
          <w:rFonts w:ascii="Times New Roman" w:eastAsia="Times New Roman" w:hAnsi="Times New Roman" w:cs="Times New Roman"/>
          <w:lang w:val="es-MX"/>
        </w:rPr>
      </w:pPr>
    </w:p>
    <w:p w14:paraId="53BA8144" w14:textId="77777777" w:rsidR="007C2077" w:rsidRPr="007C2077" w:rsidRDefault="007C2077" w:rsidP="007C2077">
      <w:pPr>
        <w:spacing w:line="360" w:lineRule="auto"/>
        <w:jc w:val="both"/>
        <w:rPr>
          <w:rFonts w:ascii="Times New Roman" w:eastAsia="Times New Roman" w:hAnsi="Times New Roman" w:cs="Times New Roman"/>
          <w:lang w:val="es-MX"/>
        </w:rPr>
      </w:pPr>
      <w:r w:rsidRPr="007C2077">
        <w:rPr>
          <w:rFonts w:ascii="Times New Roman" w:eastAsia="Times New Roman" w:hAnsi="Times New Roman" w:cs="Times New Roman"/>
          <w:lang w:val="es-MX"/>
        </w:rPr>
        <w:t xml:space="preserve">Al formar parte de la Organización de las Naciones Unidas (ONU), México adquiere una responsabilidad inmediata con el cumplimiento de los Objetivos de Desarrollo Sostenible enmarcados en la Agenda Post 2015, responsabilidad que ha asumido orientando esfuerzos como programas y políticas nacionales entre los cuales destacan el PND 2019-2024 para el logro de los mismos. </w:t>
      </w:r>
    </w:p>
    <w:p w14:paraId="34FDF422" w14:textId="77777777" w:rsidR="007C2077" w:rsidRPr="007C2077" w:rsidRDefault="007C2077" w:rsidP="007C2077">
      <w:pPr>
        <w:spacing w:line="360" w:lineRule="auto"/>
        <w:jc w:val="both"/>
        <w:rPr>
          <w:rFonts w:ascii="Times New Roman" w:eastAsia="Times New Roman" w:hAnsi="Times New Roman" w:cs="Times New Roman"/>
          <w:lang w:val="es-MX"/>
        </w:rPr>
      </w:pPr>
    </w:p>
    <w:p w14:paraId="0D8B7B72" w14:textId="5A2FF0B6" w:rsidR="007C2077" w:rsidRPr="007C2077" w:rsidRDefault="007C2077" w:rsidP="007C2077">
      <w:pPr>
        <w:spacing w:line="360" w:lineRule="auto"/>
        <w:jc w:val="both"/>
        <w:rPr>
          <w:rFonts w:ascii="Times New Roman" w:eastAsia="Times New Roman" w:hAnsi="Times New Roman" w:cs="Times New Roman"/>
          <w:lang w:val="es-MX"/>
        </w:rPr>
      </w:pPr>
      <w:r w:rsidRPr="007C2077">
        <w:rPr>
          <w:rFonts w:ascii="Times New Roman" w:eastAsia="Times New Roman" w:hAnsi="Times New Roman" w:cs="Times New Roman"/>
          <w:lang w:val="es-MX"/>
        </w:rPr>
        <w:t xml:space="preserve">En concordancia con los Objetivos de Desarrollo Sostenible, el objetivo 9 denominado </w:t>
      </w:r>
      <w:r w:rsidRPr="007C2077">
        <w:rPr>
          <w:rFonts w:ascii="Times New Roman" w:eastAsia="Times New Roman" w:hAnsi="Times New Roman" w:cs="Times New Roman"/>
          <w:b/>
          <w:lang w:val="es-MX"/>
        </w:rPr>
        <w:t>“Industria, Innovación e Infraestructura”</w:t>
      </w:r>
      <w:r w:rsidRPr="007C2077">
        <w:rPr>
          <w:rFonts w:ascii="Times New Roman" w:eastAsia="Times New Roman" w:hAnsi="Times New Roman" w:cs="Times New Roman"/>
          <w:b/>
          <w:vertAlign w:val="superscript"/>
          <w:lang w:val="es-MX"/>
        </w:rPr>
        <w:footnoteReference w:id="4"/>
      </w:r>
      <w:r w:rsidRPr="007C2077">
        <w:rPr>
          <w:rFonts w:ascii="Times New Roman" w:eastAsia="Times New Roman" w:hAnsi="Times New Roman" w:cs="Times New Roman"/>
          <w:b/>
          <w:lang w:val="es-MX"/>
        </w:rPr>
        <w:t xml:space="preserve"> </w:t>
      </w:r>
      <w:r w:rsidRPr="007C2077">
        <w:rPr>
          <w:rFonts w:ascii="Times New Roman" w:eastAsia="Times New Roman" w:hAnsi="Times New Roman" w:cs="Times New Roman"/>
          <w:lang w:val="es-MX"/>
        </w:rPr>
        <w:t xml:space="preserve"> mantiene una vinculación con el Objetivo 3.3 “Promover la </w:t>
      </w:r>
      <w:r w:rsidRPr="007C2077">
        <w:rPr>
          <w:rFonts w:ascii="Times New Roman" w:eastAsia="Times New Roman" w:hAnsi="Times New Roman" w:cs="Times New Roman"/>
          <w:lang w:val="es-MX"/>
        </w:rPr>
        <w:lastRenderedPageBreak/>
        <w:t>innovación, la competencia, la integración en las cadenas de valor y la generación de un mayor valor agregado en todos los sectores productivos bajo un enfoque de sostenibilidad” perteneciente al Eje General “Desarrollo Económico” del PND 2019-2024 y cada  una de sus estrategias, razón  por la cual  los objetivos específicos del S192 se relacionan de manera indirecta al Objet</w:t>
      </w:r>
      <w:r w:rsidR="00024942">
        <w:rPr>
          <w:rFonts w:ascii="Times New Roman" w:eastAsia="Times New Roman" w:hAnsi="Times New Roman" w:cs="Times New Roman"/>
          <w:lang w:val="es-MX"/>
        </w:rPr>
        <w:t>ivo de Desarrollo Sostenible 9 “</w:t>
      </w:r>
      <w:r w:rsidR="00024942" w:rsidRPr="00024942">
        <w:rPr>
          <w:rFonts w:ascii="Times New Roman" w:eastAsia="Times New Roman" w:hAnsi="Times New Roman" w:cs="Times New Roman"/>
          <w:lang w:val="es-MX"/>
        </w:rPr>
        <w:t>Construir infraestructuras resilientes, promover la industrialización inclusiva y sostenible y fomentar la innovación</w:t>
      </w:r>
      <w:r w:rsidR="00024942">
        <w:rPr>
          <w:rFonts w:ascii="Times New Roman" w:eastAsia="Times New Roman" w:hAnsi="Times New Roman" w:cs="Times New Roman"/>
          <w:lang w:val="es-MX"/>
        </w:rPr>
        <w:t>”</w:t>
      </w:r>
    </w:p>
    <w:p w14:paraId="3B0B75A5" w14:textId="77777777" w:rsidR="007C2077" w:rsidRPr="007C2077" w:rsidRDefault="007C2077" w:rsidP="007C2077">
      <w:pPr>
        <w:spacing w:line="360" w:lineRule="auto"/>
        <w:jc w:val="both"/>
        <w:rPr>
          <w:rFonts w:ascii="Times New Roman" w:eastAsia="Times New Roman" w:hAnsi="Times New Roman" w:cs="Times New Roman"/>
          <w:lang w:val="es-MX"/>
        </w:rPr>
      </w:pPr>
    </w:p>
    <w:p w14:paraId="41ACFB61" w14:textId="77777777" w:rsidR="007C2077" w:rsidRPr="007C2077" w:rsidRDefault="007C2077" w:rsidP="007C2077">
      <w:pPr>
        <w:spacing w:line="360" w:lineRule="auto"/>
        <w:jc w:val="both"/>
        <w:rPr>
          <w:rFonts w:ascii="Times New Roman" w:eastAsia="Times New Roman" w:hAnsi="Times New Roman" w:cs="Times New Roman"/>
          <w:lang w:val="es-MX"/>
        </w:rPr>
      </w:pPr>
      <w:r w:rsidRPr="007C2077">
        <w:rPr>
          <w:rFonts w:ascii="Times New Roman" w:eastAsia="Times New Roman" w:hAnsi="Times New Roman" w:cs="Times New Roman"/>
          <w:b/>
          <w:lang w:val="es-MX"/>
        </w:rPr>
        <w:t>9.5</w:t>
      </w:r>
      <w:r w:rsidRPr="007C2077">
        <w:rPr>
          <w:rFonts w:ascii="Times New Roman" w:eastAsia="Times New Roman" w:hAnsi="Times New Roman" w:cs="Times New Roman"/>
          <w:lang w:val="es-MX"/>
        </w:rPr>
        <w:t xml:space="preserve"> </w:t>
      </w:r>
      <w:r w:rsidRPr="007C2077">
        <w:rPr>
          <w:rFonts w:ascii="Times New Roman" w:eastAsia="Times New Roman" w:hAnsi="Times New Roman" w:cs="Times New Roman"/>
          <w:i/>
          <w:lang w:val="es-MX"/>
        </w:rPr>
        <w:t>Aumentar la investigación científica y mejorar la capacidad científica de los sectores industriales de todos los países, en particular los países en desarrollo, entre otras cosas mediante, para 2030, el fomento de la innovación y el aumento del número de trabajadores en la esfera de la investigación y desarrollo por cada millón de personas en un [x]% así como el aumento de los gastos en investigación y desarrollo de los sectores público y privado.</w:t>
      </w:r>
    </w:p>
    <w:p w14:paraId="24349A2C" w14:textId="77777777" w:rsidR="007C2077" w:rsidRPr="007C2077" w:rsidRDefault="007C2077" w:rsidP="007C2077">
      <w:pPr>
        <w:spacing w:line="360" w:lineRule="auto"/>
        <w:jc w:val="both"/>
        <w:rPr>
          <w:rFonts w:ascii="Times New Roman" w:eastAsia="Times New Roman" w:hAnsi="Times New Roman" w:cs="Times New Roman"/>
          <w:lang w:val="es-MX"/>
        </w:rPr>
      </w:pPr>
    </w:p>
    <w:p w14:paraId="110B4CF9" w14:textId="49BFB515" w:rsidR="007C2077" w:rsidRDefault="007C2077" w:rsidP="007C2077">
      <w:pPr>
        <w:spacing w:line="360" w:lineRule="auto"/>
        <w:jc w:val="both"/>
        <w:rPr>
          <w:rFonts w:ascii="Times New Roman" w:eastAsia="Times New Roman" w:hAnsi="Times New Roman" w:cs="Times New Roman"/>
          <w:lang w:val="es-MX"/>
        </w:rPr>
      </w:pPr>
      <w:r w:rsidRPr="007C2077">
        <w:rPr>
          <w:rFonts w:ascii="Times New Roman" w:eastAsia="Times New Roman" w:hAnsi="Times New Roman" w:cs="Times New Roman"/>
          <w:b/>
          <w:lang w:val="es-MX"/>
        </w:rPr>
        <w:t>9.b</w:t>
      </w:r>
      <w:r w:rsidRPr="007C2077">
        <w:rPr>
          <w:rFonts w:ascii="Times New Roman" w:eastAsia="Times New Roman" w:hAnsi="Times New Roman" w:cs="Times New Roman"/>
          <w:lang w:val="es-MX"/>
        </w:rPr>
        <w:t xml:space="preserve"> </w:t>
      </w:r>
      <w:r w:rsidRPr="007C2077">
        <w:rPr>
          <w:rFonts w:ascii="Times New Roman" w:eastAsia="Times New Roman" w:hAnsi="Times New Roman" w:cs="Times New Roman"/>
          <w:i/>
          <w:lang w:val="es-MX"/>
        </w:rPr>
        <w:t>Apoyar el desarrollo de la tecnología nacional, la investigación y la innovación en los países en desarrollo, en particular garantizando un entorno normativo propicio a la diversificación industrial y la adición de valor a los productos básicos entre otras cosas. La vinculación y coordinación de los objetivos del Programa S192 trasciende el plano nacional e institucional al contribuir al reforzamiento de la Agenda Post 2015 y los Objetivos de Desarrollo Sostenibles</w:t>
      </w:r>
      <w:r w:rsidRPr="007C2077">
        <w:rPr>
          <w:rFonts w:ascii="Times New Roman" w:eastAsia="Times New Roman" w:hAnsi="Times New Roman" w:cs="Times New Roman"/>
          <w:lang w:val="es-MX"/>
        </w:rPr>
        <w:t>.</w:t>
      </w:r>
    </w:p>
    <w:p w14:paraId="5A92BA53" w14:textId="77777777" w:rsidR="002336F8" w:rsidRPr="007C2077" w:rsidRDefault="002336F8" w:rsidP="007C2077">
      <w:pPr>
        <w:spacing w:line="360" w:lineRule="auto"/>
        <w:jc w:val="both"/>
        <w:rPr>
          <w:rFonts w:ascii="Times New Roman" w:eastAsia="Times New Roman" w:hAnsi="Times New Roman" w:cs="Times New Roman"/>
          <w:lang w:val="es-MX"/>
        </w:rPr>
      </w:pPr>
    </w:p>
    <w:p w14:paraId="7994AEC4" w14:textId="5F3CF5D3" w:rsidR="007C2077" w:rsidRPr="007C2077" w:rsidRDefault="007C2077" w:rsidP="00014207">
      <w:pPr>
        <w:pStyle w:val="Ttulo2"/>
        <w:rPr>
          <w:rFonts w:ascii="Times New Roman" w:eastAsia="Times New Roman" w:hAnsi="Times New Roman" w:cs="Times New Roman"/>
          <w:b/>
          <w:bCs/>
        </w:rPr>
      </w:pPr>
      <w:bookmarkStart w:id="32" w:name="_Toc447611672"/>
      <w:bookmarkStart w:id="33" w:name="_Toc32920328"/>
      <w:r w:rsidRPr="007C2077">
        <w:rPr>
          <w:rFonts w:ascii="Times New Roman" w:eastAsia="Times New Roman" w:hAnsi="Times New Roman" w:cs="Times New Roman"/>
          <w:b/>
          <w:bCs/>
        </w:rPr>
        <w:t>III.3. Análisis de posibles complementariedades y coincidencias con otros programas federales.</w:t>
      </w:r>
      <w:bookmarkEnd w:id="32"/>
      <w:bookmarkEnd w:id="33"/>
    </w:p>
    <w:p w14:paraId="58018BE3" w14:textId="77777777" w:rsidR="007C2077" w:rsidRPr="007C2077" w:rsidRDefault="007C2077" w:rsidP="0005403A">
      <w:pPr>
        <w:spacing w:before="100" w:beforeAutospacing="1" w:line="360" w:lineRule="auto"/>
        <w:jc w:val="both"/>
        <w:rPr>
          <w:rFonts w:ascii="Times New Roman" w:eastAsia="Times New Roman" w:hAnsi="Times New Roman" w:cs="Times New Roman"/>
          <w:lang w:val="es-ES"/>
        </w:rPr>
      </w:pPr>
      <w:r w:rsidRPr="007C2077">
        <w:rPr>
          <w:rFonts w:ascii="Times New Roman" w:eastAsia="Times New Roman" w:hAnsi="Times New Roman" w:cs="Times New Roman"/>
          <w:lang w:val="es-ES"/>
        </w:rPr>
        <w:t>El Programa cuenta con 24 complementariedades a nivel federal, debido a la naturaleza del programa S192, que es atender las necesidades específicas de los sectores mediante la vinculación con las Secretarias de Estado y entidades de la Administración Pública Federal, el apoyo que se brinda a los proyectos de los diferentes fondos, debe ser considerado como un complemento de otros instrumentos de política pública, para construir la base principal del apoyo a CTI.</w:t>
      </w:r>
    </w:p>
    <w:p w14:paraId="748FCE03" w14:textId="04E5D54A" w:rsidR="007C2077" w:rsidRPr="007C2077" w:rsidRDefault="007C2077" w:rsidP="007C2077">
      <w:pPr>
        <w:tabs>
          <w:tab w:val="left" w:pos="2745"/>
        </w:tabs>
        <w:spacing w:line="360" w:lineRule="auto"/>
        <w:jc w:val="both"/>
        <w:rPr>
          <w:rFonts w:ascii="Times New Roman" w:eastAsia="Times New Roman" w:hAnsi="Times New Roman" w:cs="Times New Roman"/>
          <w:b/>
        </w:rPr>
      </w:pPr>
    </w:p>
    <w:p w14:paraId="7BCAA4B9" w14:textId="77777777" w:rsidR="002336F8" w:rsidRDefault="0099777F" w:rsidP="002336F8">
      <w:pPr>
        <w:pStyle w:val="Ttulo1"/>
        <w:numPr>
          <w:ilvl w:val="0"/>
          <w:numId w:val="28"/>
        </w:numPr>
        <w:rPr>
          <w:rFonts w:ascii="Times New Roman" w:eastAsia="Times New Roman" w:hAnsi="Times New Roman" w:cs="Times New Roman"/>
          <w:b/>
          <w:bCs/>
          <w:sz w:val="26"/>
          <w:szCs w:val="26"/>
        </w:rPr>
      </w:pPr>
      <w:bookmarkStart w:id="34" w:name="_Toc32920329"/>
      <w:r w:rsidRPr="009562DC">
        <w:rPr>
          <w:rFonts w:ascii="Times New Roman" w:eastAsia="Times New Roman" w:hAnsi="Times New Roman" w:cs="Times New Roman"/>
          <w:b/>
          <w:bCs/>
          <w:sz w:val="26"/>
          <w:szCs w:val="26"/>
        </w:rPr>
        <w:lastRenderedPageBreak/>
        <w:t>Cobertura</w:t>
      </w:r>
      <w:bookmarkEnd w:id="34"/>
    </w:p>
    <w:p w14:paraId="53E9AA47" w14:textId="44689937" w:rsidR="0099777F" w:rsidRPr="002336F8" w:rsidRDefault="0099777F" w:rsidP="002336F8">
      <w:pPr>
        <w:spacing w:before="100" w:beforeAutospacing="1" w:line="360" w:lineRule="auto"/>
        <w:rPr>
          <w:rFonts w:ascii="Times New Roman" w:eastAsia="Times New Roman" w:hAnsi="Times New Roman" w:cs="Times New Roman"/>
          <w:b/>
          <w:bCs/>
          <w:sz w:val="26"/>
          <w:szCs w:val="26"/>
        </w:rPr>
      </w:pPr>
      <w:r w:rsidRPr="002336F8">
        <w:rPr>
          <w:rFonts w:ascii="Times New Roman" w:eastAsia="Times New Roman" w:hAnsi="Times New Roman" w:cs="Times New Roman"/>
          <w:lang w:val="es-ES"/>
        </w:rPr>
        <w:t>La calidad de la intervención tiene relación estrecha o mejor dicho está determinada por las</w:t>
      </w:r>
      <w:r w:rsidR="009562DC" w:rsidRPr="002336F8">
        <w:rPr>
          <w:rFonts w:ascii="Times New Roman" w:eastAsia="Times New Roman" w:hAnsi="Times New Roman" w:cs="Times New Roman"/>
          <w:lang w:val="es-ES"/>
        </w:rPr>
        <w:t xml:space="preserve"> </w:t>
      </w:r>
      <w:r w:rsidRPr="002336F8">
        <w:rPr>
          <w:rFonts w:ascii="Times New Roman" w:eastAsia="Times New Roman" w:hAnsi="Times New Roman" w:cs="Times New Roman"/>
          <w:lang w:val="es-ES"/>
        </w:rPr>
        <w:t xml:space="preserve">capacidades técnico administrativas económicas de las unidades responsables. </w:t>
      </w:r>
    </w:p>
    <w:p w14:paraId="2E168EC7" w14:textId="2C20BF62" w:rsidR="0099777F" w:rsidRPr="002336F8" w:rsidRDefault="0099777F" w:rsidP="002336F8">
      <w:pPr>
        <w:pStyle w:val="Ttulo2"/>
        <w:spacing w:before="100" w:beforeAutospacing="1"/>
        <w:rPr>
          <w:rFonts w:ascii="Times New Roman" w:eastAsia="Times New Roman" w:hAnsi="Times New Roman" w:cs="Times New Roman"/>
          <w:b/>
          <w:bCs/>
          <w:sz w:val="24"/>
          <w:szCs w:val="24"/>
        </w:rPr>
      </w:pPr>
      <w:bookmarkStart w:id="35" w:name="_Toc447611674"/>
      <w:bookmarkStart w:id="36" w:name="_Toc32920330"/>
      <w:r w:rsidRPr="002336F8">
        <w:rPr>
          <w:rFonts w:ascii="Times New Roman" w:eastAsia="Times New Roman" w:hAnsi="Times New Roman" w:cs="Times New Roman"/>
          <w:b/>
          <w:bCs/>
          <w:sz w:val="24"/>
          <w:szCs w:val="24"/>
        </w:rPr>
        <w:t>IV.1. Identificación y caracterización de la población potencial</w:t>
      </w:r>
      <w:bookmarkEnd w:id="35"/>
      <w:bookmarkEnd w:id="36"/>
    </w:p>
    <w:p w14:paraId="30DB85A1" w14:textId="754C4161" w:rsidR="0099777F" w:rsidRPr="002336F8" w:rsidRDefault="0099777F" w:rsidP="0099777F">
      <w:pPr>
        <w:jc w:val="both"/>
        <w:rPr>
          <w:rFonts w:ascii="Times New Roman" w:eastAsia="Times New Roman" w:hAnsi="Times New Roman" w:cs="Times New Roman"/>
          <w:strike/>
          <w:sz w:val="22"/>
          <w:szCs w:val="22"/>
          <w:lang w:val="es-ES"/>
        </w:rPr>
      </w:pPr>
      <w:bookmarkStart w:id="37" w:name="_Toc447611675"/>
    </w:p>
    <w:p w14:paraId="70A2439B" w14:textId="77777777" w:rsidR="0099777F" w:rsidRPr="008F4AE6" w:rsidRDefault="0099777F" w:rsidP="009562DC">
      <w:pPr>
        <w:autoSpaceDE w:val="0"/>
        <w:autoSpaceDN w:val="0"/>
        <w:adjustRightInd w:val="0"/>
        <w:spacing w:line="360" w:lineRule="auto"/>
        <w:jc w:val="both"/>
        <w:rPr>
          <w:rFonts w:ascii="Times New Roman" w:eastAsia="Calibri" w:hAnsi="Times New Roman" w:cs="Times New Roman"/>
          <w:lang w:val="es-ES" w:eastAsia="en-US"/>
        </w:rPr>
      </w:pPr>
      <w:r w:rsidRPr="008F4AE6">
        <w:rPr>
          <w:rFonts w:ascii="Times New Roman" w:eastAsia="Calibri" w:hAnsi="Times New Roman" w:cs="Times New Roman"/>
          <w:lang w:val="es-ES" w:eastAsia="en-US"/>
        </w:rPr>
        <w:t xml:space="preserve">Hemos dicho que </w:t>
      </w:r>
      <w:r w:rsidRPr="008F4AE6">
        <w:rPr>
          <w:rFonts w:ascii="Times New Roman" w:eastAsia="Calibri" w:hAnsi="Times New Roman" w:cs="Times New Roman"/>
          <w:i/>
          <w:lang w:val="es-ES" w:eastAsia="en-US"/>
        </w:rPr>
        <w:t>los Sectores Administrativos de la APF</w:t>
      </w:r>
      <w:r w:rsidRPr="008F4AE6">
        <w:rPr>
          <w:rFonts w:ascii="Times New Roman" w:eastAsia="Calibri" w:hAnsi="Times New Roman" w:cs="Times New Roman"/>
          <w:lang w:val="es-ES" w:eastAsia="en-US"/>
        </w:rPr>
        <w:t xml:space="preserve"> son quienes están inmersos en la situación problemática (se mencionan como sustantivo en la oración principal del árbol de problemas), por lo tanto, es lógico pensar que tales sectores conformasen la población objetivo.</w:t>
      </w:r>
    </w:p>
    <w:p w14:paraId="1C089483" w14:textId="77777777" w:rsidR="0099777F" w:rsidRPr="008F4AE6" w:rsidRDefault="0099777F" w:rsidP="009562DC">
      <w:pPr>
        <w:autoSpaceDE w:val="0"/>
        <w:autoSpaceDN w:val="0"/>
        <w:adjustRightInd w:val="0"/>
        <w:spacing w:line="360" w:lineRule="auto"/>
        <w:jc w:val="both"/>
        <w:rPr>
          <w:rFonts w:ascii="Times New Roman" w:eastAsia="Calibri" w:hAnsi="Times New Roman" w:cs="Times New Roman"/>
          <w:lang w:val="es-ES" w:eastAsia="en-US"/>
        </w:rPr>
      </w:pPr>
    </w:p>
    <w:p w14:paraId="10361B2B" w14:textId="77777777" w:rsidR="0099777F" w:rsidRPr="008F4AE6" w:rsidRDefault="0099777F" w:rsidP="009562DC">
      <w:pPr>
        <w:autoSpaceDE w:val="0"/>
        <w:autoSpaceDN w:val="0"/>
        <w:adjustRightInd w:val="0"/>
        <w:spacing w:line="360" w:lineRule="auto"/>
        <w:jc w:val="both"/>
        <w:rPr>
          <w:rFonts w:ascii="Times New Roman" w:eastAsia="Calibri" w:hAnsi="Times New Roman" w:cs="Times New Roman"/>
          <w:lang w:val="es-ES" w:eastAsia="en-US"/>
        </w:rPr>
      </w:pPr>
      <w:r w:rsidRPr="008F4AE6">
        <w:rPr>
          <w:rFonts w:ascii="Times New Roman" w:eastAsia="Calibri" w:hAnsi="Times New Roman" w:cs="Times New Roman"/>
          <w:lang w:val="es-ES" w:eastAsia="en-US"/>
        </w:rPr>
        <w:t>Sin embargo, los recursos que el programa otorgue no tendrán como destinatarios a los órganos o dependencias de gobierno (sectores), pues el beneficio para estos pretende lograrse de forma indirecta.</w:t>
      </w:r>
    </w:p>
    <w:p w14:paraId="06BCEF3B" w14:textId="77777777" w:rsidR="0099777F" w:rsidRPr="008F4AE6" w:rsidRDefault="0099777F" w:rsidP="009562DC">
      <w:pPr>
        <w:autoSpaceDE w:val="0"/>
        <w:autoSpaceDN w:val="0"/>
        <w:adjustRightInd w:val="0"/>
        <w:spacing w:line="360" w:lineRule="auto"/>
        <w:jc w:val="both"/>
        <w:rPr>
          <w:rFonts w:ascii="Times New Roman" w:eastAsia="Calibri" w:hAnsi="Times New Roman" w:cs="Times New Roman"/>
          <w:lang w:val="es-ES" w:eastAsia="en-US"/>
        </w:rPr>
      </w:pPr>
    </w:p>
    <w:p w14:paraId="19325D2A" w14:textId="77777777" w:rsidR="0099777F" w:rsidRPr="008F4AE6" w:rsidRDefault="0099777F" w:rsidP="009562DC">
      <w:pPr>
        <w:autoSpaceDE w:val="0"/>
        <w:autoSpaceDN w:val="0"/>
        <w:adjustRightInd w:val="0"/>
        <w:spacing w:line="360" w:lineRule="auto"/>
        <w:jc w:val="both"/>
        <w:rPr>
          <w:rFonts w:ascii="Times New Roman" w:eastAsia="Calibri" w:hAnsi="Times New Roman" w:cs="Times New Roman"/>
          <w:lang w:val="es-ES" w:eastAsia="en-US"/>
        </w:rPr>
      </w:pPr>
      <w:r w:rsidRPr="008F4AE6">
        <w:rPr>
          <w:rFonts w:ascii="Times New Roman" w:eastAsia="Calibri" w:hAnsi="Times New Roman" w:cs="Times New Roman"/>
          <w:lang w:val="es-ES" w:eastAsia="en-US"/>
        </w:rPr>
        <w:t>Es decir, los apoyos del programa se otorgan a personas que, por medio de proyectos de investigación, desarrollo tecnológico e/o innovación, puedan obtener productos que fortalezcan las capacidades de los sectores.</w:t>
      </w:r>
    </w:p>
    <w:p w14:paraId="5F96F71F" w14:textId="48AE2B19" w:rsidR="0099777F" w:rsidRPr="002336F8" w:rsidRDefault="003421EF" w:rsidP="002336F8">
      <w:pPr>
        <w:spacing w:before="100" w:beforeAutospacing="1"/>
        <w:rPr>
          <w:rFonts w:ascii="Times New Roman" w:eastAsia="Times New Roman" w:hAnsi="Times New Roman" w:cs="Times New Roman"/>
          <w:b/>
          <w:bCs/>
          <w:color w:val="2F5496" w:themeColor="accent1" w:themeShade="BF"/>
        </w:rPr>
      </w:pPr>
      <w:r w:rsidRPr="002336F8">
        <w:rPr>
          <w:rFonts w:ascii="Times New Roman" w:eastAsia="Times New Roman" w:hAnsi="Times New Roman" w:cs="Times New Roman"/>
          <w:b/>
          <w:bCs/>
          <w:color w:val="2F5496" w:themeColor="accent1" w:themeShade="BF"/>
        </w:rPr>
        <w:t xml:space="preserve">IV.1.1 </w:t>
      </w:r>
      <w:r w:rsidR="0099777F" w:rsidRPr="002336F8">
        <w:rPr>
          <w:rFonts w:ascii="Times New Roman" w:eastAsia="Times New Roman" w:hAnsi="Times New Roman" w:cs="Times New Roman"/>
          <w:b/>
          <w:bCs/>
          <w:color w:val="2F5496" w:themeColor="accent1" w:themeShade="BF"/>
        </w:rPr>
        <w:t>Población Potencial</w:t>
      </w:r>
    </w:p>
    <w:p w14:paraId="575364A5" w14:textId="77777777" w:rsidR="0099777F" w:rsidRPr="00CA264F" w:rsidRDefault="0099777F" w:rsidP="002336F8">
      <w:pPr>
        <w:autoSpaceDE w:val="0"/>
        <w:autoSpaceDN w:val="0"/>
        <w:adjustRightInd w:val="0"/>
        <w:spacing w:before="100" w:beforeAutospacing="1" w:line="360" w:lineRule="auto"/>
        <w:jc w:val="both"/>
        <w:rPr>
          <w:rFonts w:ascii="Times New Roman" w:eastAsia="Calibri" w:hAnsi="Times New Roman" w:cs="Times New Roman"/>
          <w:lang w:val="es-ES" w:eastAsia="en-US"/>
        </w:rPr>
      </w:pPr>
      <w:r w:rsidRPr="00CA264F">
        <w:rPr>
          <w:rFonts w:ascii="Times New Roman" w:eastAsia="Calibri" w:hAnsi="Times New Roman" w:cs="Times New Roman"/>
          <w:lang w:val="es-ES" w:eastAsia="en-US"/>
        </w:rPr>
        <w:t xml:space="preserve">Conjunto formado por instituciones de educación superior; centros e institutos de investigación; empresas; personas físicas y/o morales que cuenten con </w:t>
      </w:r>
      <w:proofErr w:type="spellStart"/>
      <w:r w:rsidRPr="00CA264F">
        <w:rPr>
          <w:rFonts w:ascii="Times New Roman" w:eastAsia="Calibri" w:hAnsi="Times New Roman" w:cs="Times New Roman"/>
          <w:lang w:val="es-ES" w:eastAsia="en-US"/>
        </w:rPr>
        <w:t>pre-registro</w:t>
      </w:r>
      <w:proofErr w:type="spellEnd"/>
      <w:r w:rsidRPr="00CA264F">
        <w:rPr>
          <w:rFonts w:ascii="Times New Roman" w:eastAsia="Calibri" w:hAnsi="Times New Roman" w:cs="Times New Roman"/>
          <w:lang w:val="es-ES" w:eastAsia="en-US"/>
        </w:rPr>
        <w:t xml:space="preserve"> o registro en el Registro Nacional de Instituciones y Empresas Científicas y Tecnológicas (RENIECYT); que presenten propuestas para realizar proyectos en IDTI cumpliendo los requisitos de participación establecidos en las convocatorias.</w:t>
      </w:r>
    </w:p>
    <w:p w14:paraId="5E6F02A4" w14:textId="77777777" w:rsidR="002336F8" w:rsidRDefault="002336F8" w:rsidP="002C2BC1">
      <w:pPr>
        <w:rPr>
          <w:rFonts w:ascii="Times New Roman" w:eastAsia="Calibri" w:hAnsi="Times New Roman" w:cs="Times New Roman"/>
          <w:b/>
          <w:lang w:val="es-ES" w:eastAsia="en-US"/>
        </w:rPr>
      </w:pPr>
    </w:p>
    <w:p w14:paraId="4CF0074A" w14:textId="62AB3DCE" w:rsidR="0099777F" w:rsidRPr="0005403A" w:rsidRDefault="003421EF" w:rsidP="002C2BC1">
      <w:pPr>
        <w:rPr>
          <w:rFonts w:ascii="Times New Roman" w:eastAsia="Calibri" w:hAnsi="Times New Roman" w:cs="Times New Roman"/>
          <w:b/>
          <w:color w:val="2F5496" w:themeColor="accent1" w:themeShade="BF"/>
          <w:lang w:val="es-ES" w:eastAsia="en-US"/>
        </w:rPr>
      </w:pPr>
      <w:r w:rsidRPr="0005403A">
        <w:rPr>
          <w:rFonts w:ascii="Times New Roman" w:eastAsia="Calibri" w:hAnsi="Times New Roman" w:cs="Times New Roman"/>
          <w:b/>
          <w:color w:val="2F5496" w:themeColor="accent1" w:themeShade="BF"/>
          <w:lang w:val="es-ES" w:eastAsia="en-US"/>
        </w:rPr>
        <w:t xml:space="preserve">IV.1.2. </w:t>
      </w:r>
      <w:r w:rsidR="0099777F" w:rsidRPr="0005403A">
        <w:rPr>
          <w:rFonts w:ascii="Times New Roman" w:eastAsia="Calibri" w:hAnsi="Times New Roman" w:cs="Times New Roman"/>
          <w:b/>
          <w:color w:val="2F5496" w:themeColor="accent1" w:themeShade="BF"/>
          <w:lang w:val="es-ES" w:eastAsia="en-US"/>
        </w:rPr>
        <w:t>Población Objetivo</w:t>
      </w:r>
    </w:p>
    <w:p w14:paraId="55A58AB1" w14:textId="77777777" w:rsidR="0099777F" w:rsidRPr="00CA264F" w:rsidRDefault="0099777F" w:rsidP="0005403A">
      <w:pPr>
        <w:autoSpaceDE w:val="0"/>
        <w:autoSpaceDN w:val="0"/>
        <w:adjustRightInd w:val="0"/>
        <w:spacing w:before="100" w:beforeAutospacing="1" w:line="360" w:lineRule="auto"/>
        <w:jc w:val="both"/>
        <w:rPr>
          <w:rFonts w:ascii="Times New Roman" w:eastAsia="Calibri" w:hAnsi="Times New Roman" w:cs="Times New Roman"/>
          <w:lang w:val="es-ES" w:eastAsia="en-US"/>
        </w:rPr>
      </w:pPr>
      <w:r w:rsidRPr="00CA264F">
        <w:rPr>
          <w:rFonts w:ascii="Times New Roman" w:eastAsia="Calibri" w:hAnsi="Times New Roman" w:cs="Times New Roman"/>
          <w:lang w:val="es-ES" w:eastAsia="en-US"/>
        </w:rPr>
        <w:t xml:space="preserve">Conjunto formado por instituciones de educación superior; centros e institutos de investigación; empresas; personas físicas y/o morales que cuenten con </w:t>
      </w:r>
      <w:proofErr w:type="spellStart"/>
      <w:r w:rsidRPr="00CA264F">
        <w:rPr>
          <w:rFonts w:ascii="Times New Roman" w:eastAsia="Calibri" w:hAnsi="Times New Roman" w:cs="Times New Roman"/>
          <w:lang w:val="es-ES" w:eastAsia="en-US"/>
        </w:rPr>
        <w:t>pre-registro</w:t>
      </w:r>
      <w:proofErr w:type="spellEnd"/>
      <w:r w:rsidRPr="00CA264F">
        <w:rPr>
          <w:rFonts w:ascii="Times New Roman" w:eastAsia="Calibri" w:hAnsi="Times New Roman" w:cs="Times New Roman"/>
          <w:lang w:val="es-ES" w:eastAsia="en-US"/>
        </w:rPr>
        <w:t xml:space="preserve"> o registro en el Registro Nacional de Instituciones y Empresas Científicas y Tecnológicas (RENIECYT); que presenten propuestas para realizar proyectos en IDTI cumpliendo los requisitos de participación establecidos en las convocatorias; </w:t>
      </w:r>
      <w:r w:rsidRPr="00CA264F">
        <w:rPr>
          <w:rFonts w:ascii="Times New Roman" w:eastAsia="Calibri" w:hAnsi="Times New Roman" w:cs="Times New Roman"/>
          <w:lang w:val="es-ES" w:eastAsia="en-US"/>
        </w:rPr>
        <w:lastRenderedPageBreak/>
        <w:t>que dichas propuestas sean recomendadas por la(s) instancia(s) de evaluación correspondiente(s); aprobadas por el Comité Técnico y de Administración (</w:t>
      </w:r>
      <w:proofErr w:type="spellStart"/>
      <w:r w:rsidRPr="00CA264F">
        <w:rPr>
          <w:rFonts w:ascii="Times New Roman" w:eastAsia="Calibri" w:hAnsi="Times New Roman" w:cs="Times New Roman"/>
          <w:lang w:val="es-ES" w:eastAsia="en-US"/>
        </w:rPr>
        <w:t>CTyA</w:t>
      </w:r>
      <w:proofErr w:type="spellEnd"/>
      <w:r w:rsidRPr="00CA264F">
        <w:rPr>
          <w:rFonts w:ascii="Times New Roman" w:eastAsia="Calibri" w:hAnsi="Times New Roman" w:cs="Times New Roman"/>
          <w:lang w:val="es-ES" w:eastAsia="en-US"/>
        </w:rPr>
        <w:t>) del fondo sectorial</w:t>
      </w:r>
      <w:r w:rsidRPr="0099777F">
        <w:rPr>
          <w:rFonts w:ascii="Calibri" w:eastAsia="Calibri" w:hAnsi="Calibri" w:cs="Calibri"/>
          <w:lang w:val="es-ES" w:eastAsia="en-US"/>
        </w:rPr>
        <w:t xml:space="preserve"> </w:t>
      </w:r>
      <w:r w:rsidRPr="00CA264F">
        <w:rPr>
          <w:rFonts w:ascii="Times New Roman" w:eastAsia="Calibri" w:hAnsi="Times New Roman" w:cs="Times New Roman"/>
          <w:lang w:val="es-ES" w:eastAsia="en-US"/>
        </w:rPr>
        <w:t>correspondiente para recibir recursos del Programa y que aparezcan en las listas de resultados que se publiquen en los medios autorizados.</w:t>
      </w:r>
    </w:p>
    <w:p w14:paraId="3C3673DB" w14:textId="09F363C2" w:rsidR="0099777F" w:rsidRPr="0005403A" w:rsidRDefault="003421EF" w:rsidP="0005403A">
      <w:pPr>
        <w:spacing w:before="100" w:beforeAutospacing="1"/>
        <w:rPr>
          <w:rFonts w:ascii="Times New Roman" w:eastAsia="Calibri" w:hAnsi="Times New Roman" w:cs="Times New Roman"/>
          <w:b/>
          <w:color w:val="2F5496" w:themeColor="accent1" w:themeShade="BF"/>
          <w:lang w:val="es-ES" w:eastAsia="en-US"/>
        </w:rPr>
      </w:pPr>
      <w:r w:rsidRPr="0005403A">
        <w:rPr>
          <w:rFonts w:ascii="Times New Roman" w:eastAsia="Calibri" w:hAnsi="Times New Roman" w:cs="Times New Roman"/>
          <w:b/>
          <w:color w:val="2F5496" w:themeColor="accent1" w:themeShade="BF"/>
          <w:lang w:val="es-ES" w:eastAsia="en-US"/>
        </w:rPr>
        <w:t xml:space="preserve">IV.1.3. </w:t>
      </w:r>
      <w:r w:rsidR="0099777F" w:rsidRPr="0005403A">
        <w:rPr>
          <w:rFonts w:ascii="Times New Roman" w:eastAsia="Calibri" w:hAnsi="Times New Roman" w:cs="Times New Roman"/>
          <w:b/>
          <w:color w:val="2F5496" w:themeColor="accent1" w:themeShade="BF"/>
          <w:lang w:val="es-ES" w:eastAsia="en-US"/>
        </w:rPr>
        <w:t>Población Atendida</w:t>
      </w:r>
    </w:p>
    <w:p w14:paraId="100761C4" w14:textId="77777777" w:rsidR="0099777F" w:rsidRPr="00B2641B" w:rsidRDefault="0099777F" w:rsidP="0099777F">
      <w:pPr>
        <w:autoSpaceDE w:val="0"/>
        <w:autoSpaceDN w:val="0"/>
        <w:adjustRightInd w:val="0"/>
        <w:jc w:val="both"/>
        <w:rPr>
          <w:rFonts w:ascii="Times New Roman" w:eastAsia="Calibri" w:hAnsi="Times New Roman" w:cs="Times New Roman"/>
          <w:lang w:val="es-ES" w:eastAsia="en-US"/>
        </w:rPr>
      </w:pPr>
    </w:p>
    <w:p w14:paraId="063E6171" w14:textId="77777777" w:rsidR="0099777F" w:rsidRPr="00B2641B" w:rsidRDefault="0099777F" w:rsidP="009562DC">
      <w:pPr>
        <w:autoSpaceDE w:val="0"/>
        <w:autoSpaceDN w:val="0"/>
        <w:adjustRightInd w:val="0"/>
        <w:spacing w:line="360" w:lineRule="auto"/>
        <w:jc w:val="both"/>
        <w:rPr>
          <w:rFonts w:ascii="Times New Roman" w:eastAsia="Calibri" w:hAnsi="Times New Roman" w:cs="Times New Roman"/>
          <w:lang w:val="es-ES" w:eastAsia="en-US"/>
        </w:rPr>
      </w:pPr>
      <w:r w:rsidRPr="00B2641B">
        <w:rPr>
          <w:rFonts w:ascii="Times New Roman" w:eastAsia="Calibri" w:hAnsi="Times New Roman" w:cs="Times New Roman"/>
          <w:lang w:val="es-ES" w:eastAsia="en-US"/>
        </w:rPr>
        <w:t xml:space="preserve">Conjunto formado por instituciones de educación superior; centros e institutos de investigación; empresas; personas físicas y/o morales que cuenten con </w:t>
      </w:r>
      <w:proofErr w:type="spellStart"/>
      <w:r w:rsidRPr="00B2641B">
        <w:rPr>
          <w:rFonts w:ascii="Times New Roman" w:eastAsia="Calibri" w:hAnsi="Times New Roman" w:cs="Times New Roman"/>
          <w:lang w:val="es-ES" w:eastAsia="en-US"/>
        </w:rPr>
        <w:t>pre-registro</w:t>
      </w:r>
      <w:proofErr w:type="spellEnd"/>
      <w:r w:rsidRPr="00B2641B">
        <w:rPr>
          <w:rFonts w:ascii="Times New Roman" w:eastAsia="Calibri" w:hAnsi="Times New Roman" w:cs="Times New Roman"/>
          <w:lang w:val="es-ES" w:eastAsia="en-US"/>
        </w:rPr>
        <w:t xml:space="preserve"> o registro en el Registro Nacional de Instituciones y Empresas Científicas y Tecnológicas (RENIECYT); que presenten propuestas para realizar proyectos en IDTI cumpliendo los requisitos de participación establecidos en las convocatorias; que dichas propuestas sean recomendadas por la(s) instancia(s) de evaluación correspondiente(s); aprobadas por el Comité Técnico y de Administración (</w:t>
      </w:r>
      <w:proofErr w:type="spellStart"/>
      <w:r w:rsidRPr="00B2641B">
        <w:rPr>
          <w:rFonts w:ascii="Times New Roman" w:eastAsia="Calibri" w:hAnsi="Times New Roman" w:cs="Times New Roman"/>
          <w:lang w:val="es-ES" w:eastAsia="en-US"/>
        </w:rPr>
        <w:t>CTyA</w:t>
      </w:r>
      <w:proofErr w:type="spellEnd"/>
      <w:r w:rsidRPr="00B2641B">
        <w:rPr>
          <w:rFonts w:ascii="Times New Roman" w:eastAsia="Calibri" w:hAnsi="Times New Roman" w:cs="Times New Roman"/>
          <w:lang w:val="es-ES" w:eastAsia="en-US"/>
        </w:rPr>
        <w:t>) del fondo sectorial correspondiente para recibir recursos del Programa, que aparezcan en las listas de resultados que se publiquen en los medios autorizados y que formalicen los convenios de asignación de Recursos correspondientes.</w:t>
      </w:r>
    </w:p>
    <w:p w14:paraId="222CD93C" w14:textId="77777777" w:rsidR="0099777F" w:rsidRPr="00B2641B" w:rsidRDefault="0099777F" w:rsidP="0099777F">
      <w:pPr>
        <w:autoSpaceDE w:val="0"/>
        <w:autoSpaceDN w:val="0"/>
        <w:adjustRightInd w:val="0"/>
        <w:jc w:val="both"/>
        <w:rPr>
          <w:rFonts w:ascii="Times New Roman" w:eastAsia="Calibri" w:hAnsi="Times New Roman" w:cs="Times New Roman"/>
          <w:b/>
          <w:lang w:val="es-ES" w:eastAsia="en-US"/>
        </w:rPr>
      </w:pPr>
    </w:p>
    <w:p w14:paraId="2D969A94" w14:textId="335FD98D" w:rsidR="0099777F" w:rsidRPr="00B2641B" w:rsidRDefault="003421EF" w:rsidP="00014207">
      <w:pPr>
        <w:pStyle w:val="Ttulo2"/>
        <w:rPr>
          <w:rFonts w:ascii="Times New Roman" w:eastAsia="Calibri" w:hAnsi="Times New Roman" w:cs="Times New Roman"/>
          <w:b/>
          <w:lang w:val="es-ES" w:eastAsia="en-US"/>
        </w:rPr>
      </w:pPr>
      <w:bookmarkStart w:id="38" w:name="_Toc32920331"/>
      <w:r>
        <w:rPr>
          <w:rFonts w:ascii="Times New Roman" w:eastAsia="Calibri" w:hAnsi="Times New Roman" w:cs="Times New Roman"/>
          <w:b/>
          <w:lang w:val="es-ES" w:eastAsia="en-US"/>
        </w:rPr>
        <w:t xml:space="preserve">IV.2. </w:t>
      </w:r>
      <w:r w:rsidR="0099777F" w:rsidRPr="00B2641B">
        <w:rPr>
          <w:rFonts w:ascii="Times New Roman" w:eastAsia="Calibri" w:hAnsi="Times New Roman" w:cs="Times New Roman"/>
          <w:b/>
          <w:lang w:val="es-ES" w:eastAsia="en-US"/>
        </w:rPr>
        <w:t>Forma de cuantificar las poblaciones</w:t>
      </w:r>
      <w:bookmarkEnd w:id="38"/>
    </w:p>
    <w:p w14:paraId="05B4FA0F" w14:textId="77777777" w:rsidR="0099777F" w:rsidRPr="00B2641B" w:rsidRDefault="0099777F" w:rsidP="0099777F">
      <w:pPr>
        <w:jc w:val="both"/>
        <w:rPr>
          <w:rFonts w:ascii="Times New Roman" w:eastAsia="Times New Roman" w:hAnsi="Times New Roman" w:cs="Times New Roman"/>
          <w:lang w:val="es-ES"/>
        </w:rPr>
      </w:pPr>
    </w:p>
    <w:p w14:paraId="0AE9C035" w14:textId="77777777" w:rsidR="0099777F" w:rsidRPr="00B2641B" w:rsidRDefault="0099777F" w:rsidP="009562DC">
      <w:pPr>
        <w:autoSpaceDE w:val="0"/>
        <w:autoSpaceDN w:val="0"/>
        <w:adjustRightInd w:val="0"/>
        <w:spacing w:line="360" w:lineRule="auto"/>
        <w:jc w:val="both"/>
        <w:rPr>
          <w:rFonts w:ascii="Times New Roman" w:eastAsia="Calibri" w:hAnsi="Times New Roman" w:cs="Times New Roman"/>
          <w:lang w:val="es-ES" w:eastAsia="en-US"/>
        </w:rPr>
      </w:pPr>
      <w:r w:rsidRPr="00B2641B">
        <w:rPr>
          <w:rFonts w:ascii="Times New Roman" w:eastAsia="Calibri" w:hAnsi="Times New Roman" w:cs="Times New Roman"/>
          <w:lang w:val="es-ES" w:eastAsia="en-US"/>
        </w:rPr>
        <w:t xml:space="preserve">Ahora bien, las personas referidas en los párrafos anteriores son mayoritariamente personas morales, tales como: instituciones de educación superior, públicas y privadas; centros e institutos de investigación; empresas; organismos gubernamentales, entre otras. </w:t>
      </w:r>
    </w:p>
    <w:p w14:paraId="447F71EB" w14:textId="77777777" w:rsidR="0099777F" w:rsidRPr="00B2641B" w:rsidRDefault="0099777F" w:rsidP="009562DC">
      <w:pPr>
        <w:autoSpaceDE w:val="0"/>
        <w:autoSpaceDN w:val="0"/>
        <w:adjustRightInd w:val="0"/>
        <w:spacing w:line="360" w:lineRule="auto"/>
        <w:jc w:val="both"/>
        <w:rPr>
          <w:rFonts w:ascii="Times New Roman" w:eastAsia="Calibri" w:hAnsi="Times New Roman" w:cs="Times New Roman"/>
          <w:lang w:val="es-ES" w:eastAsia="en-US"/>
        </w:rPr>
      </w:pPr>
    </w:p>
    <w:p w14:paraId="684214D8" w14:textId="77777777" w:rsidR="0099777F" w:rsidRPr="00B2641B" w:rsidRDefault="0099777F" w:rsidP="009562DC">
      <w:pPr>
        <w:autoSpaceDE w:val="0"/>
        <w:autoSpaceDN w:val="0"/>
        <w:adjustRightInd w:val="0"/>
        <w:spacing w:line="360" w:lineRule="auto"/>
        <w:jc w:val="both"/>
        <w:rPr>
          <w:rFonts w:ascii="Times New Roman" w:eastAsia="Calibri" w:hAnsi="Times New Roman" w:cs="Times New Roman"/>
          <w:lang w:val="es-ES" w:eastAsia="en-US"/>
        </w:rPr>
      </w:pPr>
      <w:r w:rsidRPr="00B2641B">
        <w:rPr>
          <w:rFonts w:ascii="Times New Roman" w:eastAsia="Calibri" w:hAnsi="Times New Roman" w:cs="Times New Roman"/>
          <w:lang w:val="es-ES" w:eastAsia="en-US"/>
        </w:rPr>
        <w:t xml:space="preserve">Además, es importante mencionar que una sola persona moral es susceptible de obtener más de un apoyo por parte del programa, o de uno de sus Fondos, en un mismo periodo. </w:t>
      </w:r>
    </w:p>
    <w:p w14:paraId="41F46EF1" w14:textId="77777777" w:rsidR="0099777F" w:rsidRPr="00B2641B" w:rsidRDefault="0099777F" w:rsidP="009562DC">
      <w:pPr>
        <w:autoSpaceDE w:val="0"/>
        <w:autoSpaceDN w:val="0"/>
        <w:adjustRightInd w:val="0"/>
        <w:spacing w:line="360" w:lineRule="auto"/>
        <w:jc w:val="both"/>
        <w:rPr>
          <w:rFonts w:ascii="Times New Roman" w:eastAsia="Calibri" w:hAnsi="Times New Roman" w:cs="Times New Roman"/>
          <w:lang w:val="es-ES" w:eastAsia="en-US"/>
        </w:rPr>
      </w:pPr>
      <w:r w:rsidRPr="00B2641B">
        <w:rPr>
          <w:rFonts w:ascii="Times New Roman" w:eastAsia="Calibri" w:hAnsi="Times New Roman" w:cs="Times New Roman"/>
          <w:lang w:val="es-ES" w:eastAsia="en-US"/>
        </w:rPr>
        <w:t xml:space="preserve">Considerando lo anterior, se estima adecuado realizar el cálculo de los indicadores tomando como unidad a los proyectos de investigación apoyados, no así a las personas físicas o morales que los presentan. </w:t>
      </w:r>
    </w:p>
    <w:p w14:paraId="5950D94F" w14:textId="77777777" w:rsidR="0099777F" w:rsidRPr="00B2641B" w:rsidRDefault="0099777F" w:rsidP="009562DC">
      <w:pPr>
        <w:spacing w:line="360" w:lineRule="auto"/>
        <w:jc w:val="both"/>
        <w:rPr>
          <w:rFonts w:ascii="Times New Roman" w:eastAsia="Times New Roman" w:hAnsi="Times New Roman" w:cs="Times New Roman"/>
          <w:lang w:val="es-ES"/>
        </w:rPr>
      </w:pPr>
    </w:p>
    <w:p w14:paraId="6907E272" w14:textId="6314D7A5" w:rsidR="0099777F" w:rsidRDefault="0099777F" w:rsidP="000909A0">
      <w:pPr>
        <w:spacing w:line="360" w:lineRule="auto"/>
        <w:jc w:val="both"/>
        <w:rPr>
          <w:rFonts w:ascii="Times New Roman" w:eastAsia="Times New Roman" w:hAnsi="Times New Roman" w:cs="Times New Roman"/>
          <w:lang w:val="es-ES"/>
        </w:rPr>
      </w:pPr>
      <w:r w:rsidRPr="00B2641B">
        <w:rPr>
          <w:rFonts w:ascii="Times New Roman" w:eastAsia="Times New Roman" w:hAnsi="Times New Roman" w:cs="Times New Roman"/>
          <w:lang w:val="es-ES"/>
        </w:rPr>
        <w:t xml:space="preserve">Otro aspecto que hay que tomar en cuenta, es que pueden apoyarse proyectos con ministraciones en distintos años, por lo que es importante contabilizar también a las propuestas que fueron apoyadas en </w:t>
      </w:r>
      <w:r w:rsidRPr="00B2641B">
        <w:rPr>
          <w:rFonts w:ascii="Times New Roman" w:eastAsia="Times New Roman" w:hAnsi="Times New Roman" w:cs="Times New Roman"/>
          <w:lang w:val="es-ES"/>
        </w:rPr>
        <w:lastRenderedPageBreak/>
        <w:t xml:space="preserve">convocatorias anteriores y que durante el año en que se calcula un indicador, también recibe recursos del programa. </w:t>
      </w:r>
      <w:bookmarkStart w:id="39" w:name="_Toc447611677"/>
      <w:bookmarkEnd w:id="37"/>
    </w:p>
    <w:p w14:paraId="31A1B2D4" w14:textId="77777777" w:rsidR="000909A0" w:rsidRPr="00B2641B" w:rsidRDefault="000909A0" w:rsidP="000909A0">
      <w:pPr>
        <w:spacing w:line="360" w:lineRule="auto"/>
        <w:jc w:val="both"/>
        <w:rPr>
          <w:rFonts w:ascii="Times New Roman" w:eastAsia="Times New Roman" w:hAnsi="Times New Roman" w:cs="Times New Roman"/>
          <w:lang w:val="es-ES"/>
        </w:rPr>
      </w:pPr>
    </w:p>
    <w:p w14:paraId="71525559" w14:textId="77777777" w:rsidR="000909A0" w:rsidRPr="00B25602" w:rsidRDefault="000909A0" w:rsidP="0099777F">
      <w:pPr>
        <w:jc w:val="center"/>
        <w:rPr>
          <w:rFonts w:ascii="Times New Roman" w:eastAsia="Times New Roman" w:hAnsi="Times New Roman" w:cs="Times New Roman"/>
          <w:b/>
          <w:bCs/>
          <w:color w:val="323E4F" w:themeColor="text2" w:themeShade="BF"/>
        </w:rPr>
      </w:pPr>
      <w:r w:rsidRPr="00B25602">
        <w:rPr>
          <w:rFonts w:ascii="Times New Roman" w:eastAsia="Times New Roman" w:hAnsi="Times New Roman" w:cs="Times New Roman"/>
          <w:b/>
          <w:bCs/>
          <w:color w:val="323E4F" w:themeColor="text2" w:themeShade="BF"/>
        </w:rPr>
        <w:t xml:space="preserve">Gráfica 10. Comportamiento de las poblaciones potencial (PP), objetivo (PO) y atendida (PA) </w:t>
      </w:r>
    </w:p>
    <w:p w14:paraId="6E871FA7" w14:textId="4312F990" w:rsidR="0099777F" w:rsidRPr="00B25602" w:rsidRDefault="000909A0" w:rsidP="0099777F">
      <w:pPr>
        <w:jc w:val="center"/>
        <w:rPr>
          <w:rFonts w:ascii="Times New Roman" w:eastAsia="Times New Roman" w:hAnsi="Times New Roman" w:cs="Times New Roman"/>
          <w:b/>
          <w:bCs/>
          <w:color w:val="323E4F" w:themeColor="text2" w:themeShade="BF"/>
        </w:rPr>
      </w:pPr>
      <w:r w:rsidRPr="00B25602">
        <w:rPr>
          <w:rFonts w:ascii="Times New Roman" w:eastAsia="Times New Roman" w:hAnsi="Times New Roman" w:cs="Times New Roman"/>
          <w:b/>
          <w:bCs/>
          <w:color w:val="323E4F" w:themeColor="text2" w:themeShade="BF"/>
        </w:rPr>
        <w:t>2008-201</w:t>
      </w:r>
      <w:r w:rsidR="0092514D" w:rsidRPr="00B25602">
        <w:rPr>
          <w:rFonts w:ascii="Times New Roman" w:eastAsia="Times New Roman" w:hAnsi="Times New Roman" w:cs="Times New Roman"/>
          <w:b/>
          <w:bCs/>
          <w:color w:val="323E4F" w:themeColor="text2" w:themeShade="BF"/>
        </w:rPr>
        <w:t>8</w:t>
      </w:r>
    </w:p>
    <w:p w14:paraId="50D64D9E" w14:textId="51EF1A3E" w:rsidR="0099777F" w:rsidRPr="0099777F" w:rsidRDefault="00400E86" w:rsidP="0099777F">
      <w:pPr>
        <w:jc w:val="center"/>
        <w:rPr>
          <w:rFonts w:ascii="Calibri" w:eastAsia="Times New Roman" w:hAnsi="Calibri" w:cs="Calibri"/>
          <w:lang w:val="es-ES"/>
        </w:rPr>
      </w:pPr>
      <w:r w:rsidRPr="00400E86">
        <w:rPr>
          <w:noProof/>
        </w:rPr>
        <w:drawing>
          <wp:inline distT="0" distB="0" distL="0" distR="0" wp14:anchorId="5CCE8D38" wp14:editId="5397C0EA">
            <wp:extent cx="5400000" cy="3265200"/>
            <wp:effectExtent l="0" t="0" r="10795" b="11430"/>
            <wp:docPr id="8" name="Gráfico 8">
              <a:extLst xmlns:a="http://schemas.openxmlformats.org/drawingml/2006/main">
                <a:ext uri="{FF2B5EF4-FFF2-40B4-BE49-F238E27FC236}">
                  <a16:creationId xmlns:a16="http://schemas.microsoft.com/office/drawing/2014/main" id="{48159495-C1B8-4879-A704-CBE96D5FE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6C7B4B" w14:textId="7BC37023" w:rsidR="0099777F" w:rsidRPr="000909A0" w:rsidRDefault="00660A90" w:rsidP="000909A0">
      <w:pPr>
        <w:ind w:firstLine="708"/>
        <w:jc w:val="both"/>
        <w:rPr>
          <w:rFonts w:ascii="Times New Roman" w:eastAsia="Times New Roman" w:hAnsi="Times New Roman" w:cs="Times New Roman"/>
          <w:sz w:val="16"/>
          <w:szCs w:val="16"/>
          <w:lang w:val="es-ES"/>
        </w:rPr>
      </w:pPr>
      <w:r w:rsidRPr="000909A0">
        <w:rPr>
          <w:rFonts w:ascii="Times New Roman" w:eastAsia="Times New Roman" w:hAnsi="Times New Roman" w:cs="Times New Roman"/>
          <w:b/>
          <w:bCs/>
          <w:sz w:val="16"/>
          <w:szCs w:val="16"/>
          <w:lang w:val="es-ES"/>
        </w:rPr>
        <w:t>Fuente:</w:t>
      </w:r>
      <w:r w:rsidRPr="000909A0">
        <w:rPr>
          <w:rFonts w:ascii="Times New Roman" w:eastAsia="Times New Roman" w:hAnsi="Times New Roman" w:cs="Times New Roman"/>
          <w:sz w:val="16"/>
          <w:szCs w:val="16"/>
          <w:lang w:val="es-ES"/>
        </w:rPr>
        <w:t xml:space="preserve"> Registros administrativos del Programa</w:t>
      </w:r>
    </w:p>
    <w:p w14:paraId="04C2BE5F" w14:textId="77777777" w:rsidR="0099777F" w:rsidRPr="0099777F" w:rsidRDefault="0099777F" w:rsidP="0099777F">
      <w:pPr>
        <w:jc w:val="both"/>
        <w:rPr>
          <w:rFonts w:ascii="Calibri" w:eastAsia="Times New Roman" w:hAnsi="Calibri" w:cs="Calibri"/>
          <w:lang w:val="es-ES"/>
        </w:rPr>
      </w:pPr>
    </w:p>
    <w:p w14:paraId="3E0DF8FC" w14:textId="44D7AEDC" w:rsidR="0099777F" w:rsidRPr="00D9661A" w:rsidRDefault="0099777F" w:rsidP="000909A0">
      <w:pPr>
        <w:spacing w:line="360" w:lineRule="auto"/>
        <w:jc w:val="both"/>
        <w:rPr>
          <w:rFonts w:ascii="Times New Roman" w:eastAsia="Times New Roman" w:hAnsi="Times New Roman" w:cs="Times New Roman"/>
          <w:lang w:val="es-ES"/>
        </w:rPr>
      </w:pPr>
      <w:r w:rsidRPr="00D9661A">
        <w:rPr>
          <w:rFonts w:ascii="Times New Roman" w:eastAsia="Times New Roman" w:hAnsi="Times New Roman" w:cs="Times New Roman"/>
          <w:lang w:val="es-ES"/>
        </w:rPr>
        <w:t>Es importante considerar que, debido a la naturaleza multianual de los proyectos, en ocasiones y por diversas razones atribuibles a la forma en la que funcionan los Fondos*, en algún año en particular, un Fondo pudo no haber concluido convocatoria alguna y en el año siguiente haber concluido dos convocatorias. Si el Fondo es de los que recibe muchas solicitudes (algunos reciben cientos e incluso miles), esto explica porque en algunos años bajan mucho las poblaciones y en los siguientes aumentan.</w:t>
      </w:r>
    </w:p>
    <w:p w14:paraId="215C19AC" w14:textId="77777777" w:rsidR="009E3E6B" w:rsidRPr="00D9661A" w:rsidRDefault="009E3E6B" w:rsidP="000909A0">
      <w:pPr>
        <w:spacing w:line="360" w:lineRule="auto"/>
        <w:jc w:val="both"/>
        <w:rPr>
          <w:rFonts w:ascii="Times New Roman" w:eastAsia="Times New Roman" w:hAnsi="Times New Roman" w:cs="Times New Roman"/>
          <w:lang w:val="es-ES"/>
        </w:rPr>
      </w:pPr>
    </w:p>
    <w:p w14:paraId="3915B769" w14:textId="77777777" w:rsidR="0099777F" w:rsidRPr="000909A0" w:rsidRDefault="0099777F" w:rsidP="000909A0">
      <w:pPr>
        <w:spacing w:line="360" w:lineRule="auto"/>
        <w:jc w:val="both"/>
        <w:rPr>
          <w:rFonts w:ascii="Times New Roman" w:eastAsia="Times New Roman" w:hAnsi="Times New Roman" w:cs="Times New Roman"/>
          <w:lang w:val="es-ES"/>
        </w:rPr>
      </w:pPr>
      <w:r w:rsidRPr="000909A0">
        <w:rPr>
          <w:rFonts w:ascii="Times New Roman" w:eastAsia="Times New Roman" w:hAnsi="Times New Roman" w:cs="Times New Roman"/>
          <w:lang w:val="es-ES"/>
        </w:rPr>
        <w:t>* Los Fondos del programa no se apegan al año fiscal.</w:t>
      </w:r>
    </w:p>
    <w:p w14:paraId="059B73F7" w14:textId="77777777" w:rsidR="00400E86" w:rsidRDefault="00400E86" w:rsidP="000909A0">
      <w:pPr>
        <w:spacing w:line="360" w:lineRule="auto"/>
        <w:jc w:val="both"/>
        <w:rPr>
          <w:rFonts w:ascii="Times New Roman" w:eastAsia="Times New Roman" w:hAnsi="Times New Roman" w:cs="Times New Roman"/>
          <w:lang w:val="es-ES"/>
        </w:rPr>
      </w:pPr>
    </w:p>
    <w:p w14:paraId="141439A8" w14:textId="7FD0BACE" w:rsidR="0099777F" w:rsidRPr="000909A0" w:rsidRDefault="0099777F" w:rsidP="000909A0">
      <w:pPr>
        <w:spacing w:line="360" w:lineRule="auto"/>
        <w:jc w:val="both"/>
        <w:rPr>
          <w:rFonts w:ascii="Times New Roman" w:eastAsia="Times New Roman" w:hAnsi="Times New Roman" w:cs="Times New Roman"/>
          <w:lang w:val="es-ES"/>
        </w:rPr>
      </w:pPr>
      <w:r w:rsidRPr="000909A0">
        <w:rPr>
          <w:rFonts w:ascii="Times New Roman" w:eastAsia="Times New Roman" w:hAnsi="Times New Roman" w:cs="Times New Roman"/>
          <w:lang w:val="es-ES"/>
        </w:rPr>
        <w:t>Para la cuantificación de la Población Potencial se contarán el número de proyectos que en la variable Fallo de la CE se observe la leyenda “Recomendado”.</w:t>
      </w:r>
    </w:p>
    <w:p w14:paraId="66F49402" w14:textId="77777777" w:rsidR="0099777F" w:rsidRPr="000909A0" w:rsidRDefault="0099777F" w:rsidP="000909A0">
      <w:pPr>
        <w:spacing w:line="360" w:lineRule="auto"/>
        <w:jc w:val="both"/>
        <w:rPr>
          <w:rFonts w:ascii="Times New Roman" w:eastAsia="Times New Roman" w:hAnsi="Times New Roman" w:cs="Times New Roman"/>
          <w:lang w:val="es-ES"/>
        </w:rPr>
      </w:pPr>
    </w:p>
    <w:p w14:paraId="4FDEF07C" w14:textId="77777777" w:rsidR="0099777F" w:rsidRPr="000909A0" w:rsidRDefault="0099777F" w:rsidP="000909A0">
      <w:pPr>
        <w:spacing w:line="360" w:lineRule="auto"/>
        <w:jc w:val="both"/>
        <w:rPr>
          <w:rFonts w:ascii="Times New Roman" w:eastAsia="Times New Roman" w:hAnsi="Times New Roman" w:cs="Times New Roman"/>
          <w:lang w:val="es-ES"/>
        </w:rPr>
      </w:pPr>
      <w:r w:rsidRPr="000909A0">
        <w:rPr>
          <w:rFonts w:ascii="Times New Roman" w:eastAsia="Times New Roman" w:hAnsi="Times New Roman" w:cs="Times New Roman"/>
          <w:lang w:val="es-ES"/>
        </w:rPr>
        <w:t>Existen proyectos que fueron apoyados en convocatorias anteriores pero que aún permanecen vigentes y por lo tanto son susceptibles de recibir recursos del programa en el año “t”. Estos proyectos se contabilizarán en las tres poblaciones para no afectar las definiciones.</w:t>
      </w:r>
    </w:p>
    <w:p w14:paraId="36BCA422" w14:textId="338D401D" w:rsidR="0099777F" w:rsidRDefault="0099777F" w:rsidP="0099777F">
      <w:pPr>
        <w:jc w:val="both"/>
        <w:rPr>
          <w:rFonts w:ascii="Times New Roman" w:eastAsia="Times New Roman" w:hAnsi="Times New Roman" w:cs="Times New Roman"/>
          <w:lang w:val="es-ES"/>
        </w:rPr>
      </w:pPr>
    </w:p>
    <w:p w14:paraId="060B77DA" w14:textId="15AA02CF" w:rsidR="009E3E6B" w:rsidRPr="00D9661A" w:rsidRDefault="0099777F" w:rsidP="00014207">
      <w:pPr>
        <w:pStyle w:val="Ttulo2"/>
        <w:rPr>
          <w:rFonts w:ascii="Times New Roman" w:eastAsia="Times New Roman" w:hAnsi="Times New Roman" w:cs="Times New Roman"/>
          <w:b/>
          <w:bCs/>
        </w:rPr>
      </w:pPr>
      <w:bookmarkStart w:id="40" w:name="_Toc32920332"/>
      <w:r w:rsidRPr="00D9661A">
        <w:rPr>
          <w:rFonts w:ascii="Times New Roman" w:eastAsia="Times New Roman" w:hAnsi="Times New Roman" w:cs="Times New Roman"/>
          <w:b/>
          <w:bCs/>
        </w:rPr>
        <w:t>IV.</w:t>
      </w:r>
      <w:r w:rsidR="003421EF">
        <w:rPr>
          <w:rFonts w:ascii="Times New Roman" w:eastAsia="Times New Roman" w:hAnsi="Times New Roman" w:cs="Times New Roman"/>
          <w:b/>
          <w:bCs/>
        </w:rPr>
        <w:t>3</w:t>
      </w:r>
      <w:r w:rsidRPr="00D9661A">
        <w:rPr>
          <w:rFonts w:ascii="Times New Roman" w:eastAsia="Times New Roman" w:hAnsi="Times New Roman" w:cs="Times New Roman"/>
          <w:b/>
          <w:bCs/>
        </w:rPr>
        <w:t>. Frecuencia de actualización de la población potencial y objetivo</w:t>
      </w:r>
      <w:bookmarkEnd w:id="39"/>
      <w:bookmarkEnd w:id="40"/>
    </w:p>
    <w:p w14:paraId="08CCAAAC" w14:textId="77777777" w:rsidR="009E3E6B" w:rsidRPr="00D9661A" w:rsidRDefault="009E3E6B" w:rsidP="009458C6">
      <w:pPr>
        <w:rPr>
          <w:rFonts w:ascii="Times New Roman" w:eastAsia="Times New Roman" w:hAnsi="Times New Roman" w:cs="Times New Roman"/>
          <w:b/>
          <w:bCs/>
        </w:rPr>
      </w:pPr>
    </w:p>
    <w:p w14:paraId="32D8D874" w14:textId="77777777" w:rsidR="0099777F" w:rsidRPr="00D9661A" w:rsidRDefault="0099777F" w:rsidP="0099777F">
      <w:pPr>
        <w:jc w:val="both"/>
        <w:rPr>
          <w:rFonts w:ascii="Times New Roman" w:eastAsia="Times New Roman" w:hAnsi="Times New Roman" w:cs="Times New Roman"/>
          <w:lang w:val="es-ES"/>
        </w:rPr>
      </w:pPr>
      <w:r w:rsidRPr="00D9661A">
        <w:rPr>
          <w:rFonts w:ascii="Times New Roman" w:eastAsia="Times New Roman" w:hAnsi="Times New Roman" w:cs="Times New Roman"/>
          <w:lang w:val="es-ES"/>
        </w:rPr>
        <w:t>La población potencial, objetivo y atendida se actualiza cada año.</w:t>
      </w:r>
    </w:p>
    <w:p w14:paraId="6283A79C" w14:textId="75E869C5" w:rsidR="00D83BC4" w:rsidRPr="00D83BC4" w:rsidRDefault="00D83BC4" w:rsidP="00400E86">
      <w:pPr>
        <w:pStyle w:val="Ttulo1"/>
        <w:spacing w:before="100" w:beforeAutospacing="1"/>
        <w:rPr>
          <w:rFonts w:ascii="Times New Roman" w:hAnsi="Times New Roman" w:cs="Times New Roman"/>
          <w:b/>
          <w:bCs/>
        </w:rPr>
      </w:pPr>
      <w:bookmarkStart w:id="41" w:name="_Toc447611678"/>
      <w:bookmarkStart w:id="42" w:name="_Toc32920333"/>
      <w:r w:rsidRPr="00D83BC4">
        <w:rPr>
          <w:rFonts w:ascii="Times New Roman" w:hAnsi="Times New Roman" w:cs="Times New Roman"/>
          <w:b/>
          <w:bCs/>
        </w:rPr>
        <w:t>V.</w:t>
      </w:r>
      <w:r w:rsidR="009458C6">
        <w:rPr>
          <w:rFonts w:ascii="Times New Roman" w:hAnsi="Times New Roman" w:cs="Times New Roman"/>
          <w:b/>
          <w:bCs/>
        </w:rPr>
        <w:t xml:space="preserve"> </w:t>
      </w:r>
      <w:r w:rsidR="009458C6">
        <w:rPr>
          <w:rFonts w:ascii="Times New Roman" w:hAnsi="Times New Roman" w:cs="Times New Roman"/>
          <w:b/>
          <w:bCs/>
        </w:rPr>
        <w:tab/>
      </w:r>
      <w:r w:rsidRPr="00D83BC4">
        <w:rPr>
          <w:rFonts w:ascii="Times New Roman" w:hAnsi="Times New Roman" w:cs="Times New Roman"/>
          <w:b/>
          <w:bCs/>
        </w:rPr>
        <w:t>Diseño de la intervención</w:t>
      </w:r>
      <w:bookmarkEnd w:id="41"/>
      <w:bookmarkEnd w:id="42"/>
    </w:p>
    <w:p w14:paraId="6FC1E6EF" w14:textId="145A0253" w:rsidR="00D83BC4" w:rsidRPr="00D83BC4" w:rsidRDefault="00D83BC4" w:rsidP="00400E86">
      <w:pPr>
        <w:pStyle w:val="Ttulo2"/>
        <w:spacing w:before="100" w:beforeAutospacing="1"/>
        <w:rPr>
          <w:rFonts w:ascii="Times New Roman" w:hAnsi="Times New Roman" w:cs="Times New Roman"/>
          <w:b/>
          <w:bCs/>
        </w:rPr>
      </w:pPr>
      <w:bookmarkStart w:id="43" w:name="_Toc32920334"/>
      <w:r w:rsidRPr="00D83BC4">
        <w:rPr>
          <w:rFonts w:ascii="Times New Roman" w:hAnsi="Times New Roman" w:cs="Times New Roman"/>
          <w:b/>
          <w:bCs/>
        </w:rPr>
        <w:t>V.1. Tipo de Intervención</w:t>
      </w:r>
      <w:bookmarkStart w:id="44" w:name="_Toc447611679"/>
      <w:bookmarkEnd w:id="43"/>
      <w:r w:rsidRPr="00D83BC4">
        <w:rPr>
          <w:rFonts w:ascii="Times New Roman" w:hAnsi="Times New Roman" w:cs="Times New Roman"/>
          <w:b/>
          <w:bCs/>
        </w:rPr>
        <w:tab/>
      </w:r>
    </w:p>
    <w:p w14:paraId="7CC541CD" w14:textId="77777777" w:rsidR="00D83BC4" w:rsidRPr="00D83BC4" w:rsidRDefault="00D83BC4" w:rsidP="00D83BC4">
      <w:pPr>
        <w:spacing w:line="360" w:lineRule="auto"/>
        <w:ind w:right="49"/>
        <w:jc w:val="both"/>
        <w:rPr>
          <w:rFonts w:ascii="Times New Roman" w:eastAsia="Times New Roman" w:hAnsi="Times New Roman" w:cs="Times New Roman"/>
        </w:rPr>
      </w:pPr>
      <w:r w:rsidRPr="00D83BC4">
        <w:rPr>
          <w:rFonts w:ascii="Times New Roman" w:eastAsia="Times New Roman" w:hAnsi="Times New Roman" w:cs="Times New Roman"/>
        </w:rPr>
        <w:t xml:space="preserve">Existen diversos autores que han clasificado los tipos de intervención dependiendo de la caracterización de la política pública de la cual emanan, para efectos de este documento se hará referencia a la categorización realizada por Theodore </w:t>
      </w:r>
      <w:proofErr w:type="spellStart"/>
      <w:r w:rsidRPr="00D83BC4">
        <w:rPr>
          <w:rFonts w:ascii="Times New Roman" w:eastAsia="Times New Roman" w:hAnsi="Times New Roman" w:cs="Times New Roman"/>
        </w:rPr>
        <w:t>Lowi</w:t>
      </w:r>
      <w:proofErr w:type="spellEnd"/>
      <w:r w:rsidRPr="00D83BC4">
        <w:rPr>
          <w:rFonts w:ascii="Times New Roman" w:eastAsia="Times New Roman" w:hAnsi="Times New Roman" w:cs="Times New Roman"/>
          <w:vertAlign w:val="superscript"/>
        </w:rPr>
        <w:footnoteReference w:id="5"/>
      </w:r>
      <w:r w:rsidRPr="00D83BC4">
        <w:rPr>
          <w:rFonts w:ascii="Times New Roman" w:eastAsia="Times New Roman" w:hAnsi="Times New Roman" w:cs="Times New Roman"/>
        </w:rPr>
        <w:t>:</w:t>
      </w:r>
    </w:p>
    <w:p w14:paraId="367A53BA" w14:textId="77777777" w:rsidR="00D83BC4" w:rsidRPr="00D83BC4" w:rsidRDefault="00D83BC4" w:rsidP="00D83BC4">
      <w:pPr>
        <w:spacing w:line="360" w:lineRule="auto"/>
        <w:ind w:right="49"/>
        <w:jc w:val="both"/>
        <w:rPr>
          <w:rFonts w:ascii="Times New Roman" w:eastAsia="Times New Roman" w:hAnsi="Times New Roman" w:cs="Times New Roman"/>
        </w:rPr>
      </w:pPr>
    </w:p>
    <w:p w14:paraId="5FBC038C" w14:textId="6C23750C" w:rsidR="000909A0" w:rsidRDefault="00D83BC4" w:rsidP="000909A0">
      <w:pPr>
        <w:numPr>
          <w:ilvl w:val="0"/>
          <w:numId w:val="10"/>
        </w:num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b/>
          <w:bCs/>
        </w:rPr>
        <w:t>Regulatorias</w:t>
      </w:r>
      <w:r w:rsidRPr="00D83BC4">
        <w:rPr>
          <w:rFonts w:ascii="Times New Roman" w:eastAsia="Times New Roman" w:hAnsi="Times New Roman" w:cs="Times New Roman"/>
        </w:rPr>
        <w:t>: aquellas orientadas principalmente a lograr la realización de conductas deseadas o la no realización de conductas indeseadas. El énfasis está aquí en un enfoque conductual de las decisiones de los sujetos. Tal es el caso de las políticas de tránsito terrestre. El recientemente aprobado Reglamento de Tránsito no sólo plantea alternativas de solución al caos vehicular promoviendo y sancionando conductas en autos, sino también en las personas.</w:t>
      </w:r>
    </w:p>
    <w:p w14:paraId="274E428D" w14:textId="77777777" w:rsidR="000909A0" w:rsidRPr="000909A0" w:rsidRDefault="000909A0" w:rsidP="000909A0">
      <w:pPr>
        <w:spacing w:line="360" w:lineRule="auto"/>
        <w:ind w:left="720"/>
        <w:jc w:val="both"/>
        <w:rPr>
          <w:rFonts w:ascii="Times New Roman" w:eastAsia="Times New Roman" w:hAnsi="Times New Roman" w:cs="Times New Roman"/>
        </w:rPr>
      </w:pPr>
    </w:p>
    <w:p w14:paraId="492A7B48" w14:textId="77777777" w:rsidR="000909A0" w:rsidRDefault="00D83BC4" w:rsidP="008922A3">
      <w:pPr>
        <w:numPr>
          <w:ilvl w:val="0"/>
          <w:numId w:val="10"/>
        </w:numPr>
        <w:spacing w:line="360" w:lineRule="auto"/>
        <w:jc w:val="both"/>
        <w:rPr>
          <w:rFonts w:ascii="Times New Roman" w:eastAsia="Times New Roman" w:hAnsi="Times New Roman" w:cs="Times New Roman"/>
        </w:rPr>
      </w:pPr>
      <w:r w:rsidRPr="000909A0">
        <w:rPr>
          <w:rFonts w:ascii="Times New Roman" w:eastAsia="Times New Roman" w:hAnsi="Times New Roman" w:cs="Times New Roman"/>
          <w:b/>
          <w:bCs/>
        </w:rPr>
        <w:t>Distributivas</w:t>
      </w:r>
      <w:r w:rsidRPr="000909A0">
        <w:rPr>
          <w:rFonts w:ascii="Times New Roman" w:eastAsia="Times New Roman" w:hAnsi="Times New Roman" w:cs="Times New Roman"/>
        </w:rPr>
        <w:t>: aquellas destinadas a prestar bienes o servicios a los ciudadanos. El énfasis está en la entrega de servicios, tales como los servicios de salud, educación y seguridad.</w:t>
      </w:r>
    </w:p>
    <w:p w14:paraId="7DC85115" w14:textId="77777777" w:rsidR="000909A0" w:rsidRDefault="000909A0" w:rsidP="000909A0">
      <w:pPr>
        <w:pStyle w:val="Prrafodelista"/>
        <w:rPr>
          <w:rFonts w:ascii="Times New Roman" w:eastAsia="Times New Roman" w:hAnsi="Times New Roman" w:cs="Times New Roman"/>
          <w:b/>
          <w:bCs/>
        </w:rPr>
      </w:pPr>
    </w:p>
    <w:p w14:paraId="4B9D5499" w14:textId="08DB8593" w:rsidR="00D83BC4" w:rsidRDefault="00D83BC4" w:rsidP="008922A3">
      <w:pPr>
        <w:numPr>
          <w:ilvl w:val="0"/>
          <w:numId w:val="10"/>
        </w:numPr>
        <w:spacing w:line="360" w:lineRule="auto"/>
        <w:jc w:val="both"/>
        <w:rPr>
          <w:rFonts w:ascii="Times New Roman" w:eastAsia="Times New Roman" w:hAnsi="Times New Roman" w:cs="Times New Roman"/>
        </w:rPr>
      </w:pPr>
      <w:r w:rsidRPr="000909A0">
        <w:rPr>
          <w:rFonts w:ascii="Times New Roman" w:eastAsia="Times New Roman" w:hAnsi="Times New Roman" w:cs="Times New Roman"/>
          <w:b/>
          <w:bCs/>
        </w:rPr>
        <w:t>Redistributivas</w:t>
      </w:r>
      <w:r w:rsidRPr="000909A0">
        <w:rPr>
          <w:rFonts w:ascii="Times New Roman" w:eastAsia="Times New Roman" w:hAnsi="Times New Roman" w:cs="Times New Roman"/>
        </w:rPr>
        <w:t>: cuando se trata de políticas que recaudan de algunos para entregar a otros, en particular, por su condición de pobreza o vulnerabilidad. Los programas sociales son parte de las políticas redistributivas.</w:t>
      </w:r>
    </w:p>
    <w:p w14:paraId="689FFE17" w14:textId="77777777" w:rsidR="000909A0" w:rsidRPr="000909A0" w:rsidRDefault="000909A0" w:rsidP="000909A0">
      <w:pPr>
        <w:spacing w:line="360" w:lineRule="auto"/>
        <w:jc w:val="both"/>
        <w:rPr>
          <w:rFonts w:ascii="Times New Roman" w:eastAsia="Times New Roman" w:hAnsi="Times New Roman" w:cs="Times New Roman"/>
        </w:rPr>
      </w:pPr>
    </w:p>
    <w:p w14:paraId="6DC34C8B" w14:textId="77777777" w:rsidR="00D83BC4" w:rsidRPr="00D83BC4" w:rsidRDefault="00D83BC4" w:rsidP="00D83BC4">
      <w:pPr>
        <w:numPr>
          <w:ilvl w:val="0"/>
          <w:numId w:val="10"/>
        </w:num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b/>
          <w:bCs/>
        </w:rPr>
        <w:t>Constituyentes</w:t>
      </w:r>
      <w:r w:rsidRPr="00D83BC4">
        <w:rPr>
          <w:rFonts w:ascii="Times New Roman" w:eastAsia="Times New Roman" w:hAnsi="Times New Roman" w:cs="Times New Roman"/>
        </w:rPr>
        <w:t>: cuando modifican la organización misma del Estado. El caso más claro en nuestro país es el de las políticas de la descentralización.</w:t>
      </w:r>
    </w:p>
    <w:p w14:paraId="785C5DF7" w14:textId="77777777" w:rsidR="00D83BC4" w:rsidRPr="00D83BC4" w:rsidRDefault="00D83BC4" w:rsidP="00D83BC4">
      <w:pPr>
        <w:spacing w:line="360" w:lineRule="auto"/>
        <w:ind w:left="720"/>
        <w:jc w:val="both"/>
        <w:rPr>
          <w:rFonts w:ascii="Times New Roman" w:eastAsia="Times New Roman" w:hAnsi="Times New Roman" w:cs="Times New Roman"/>
        </w:rPr>
      </w:pPr>
    </w:p>
    <w:p w14:paraId="0A8DB51C"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De acuerdo con esto, el Programa S192 es una intervención derivada de una política distributiva, ya que el énfasis está en la entrega a la sociedad de los bienes generados por los productos de investigación, o de desarrollo tecnológico o de innovación a través de los diferentes sectores. </w:t>
      </w:r>
    </w:p>
    <w:p w14:paraId="7969A7B2" w14:textId="77777777" w:rsidR="00D83BC4" w:rsidRPr="00D83BC4" w:rsidRDefault="00D83BC4" w:rsidP="00D83BC4">
      <w:pPr>
        <w:spacing w:line="360" w:lineRule="auto"/>
        <w:jc w:val="both"/>
        <w:rPr>
          <w:rFonts w:ascii="Times New Roman" w:eastAsia="Times New Roman" w:hAnsi="Times New Roman" w:cs="Times New Roman"/>
        </w:rPr>
      </w:pPr>
    </w:p>
    <w:p w14:paraId="65533E2A"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Los bienes a que se refiere el párrafo anterior se entregan bajo ciertas condiciones, mismas que se enuncian, de forma general, en las Reglas de Operación del Programa S192. </w:t>
      </w:r>
    </w:p>
    <w:p w14:paraId="75CF7009" w14:textId="77777777" w:rsidR="00C11169" w:rsidRDefault="00C11169" w:rsidP="00D83BC4">
      <w:pPr>
        <w:spacing w:line="360" w:lineRule="auto"/>
        <w:jc w:val="both"/>
        <w:rPr>
          <w:rFonts w:ascii="Times New Roman" w:eastAsia="Times New Roman" w:hAnsi="Times New Roman" w:cs="Times New Roman"/>
          <w:highlight w:val="yellow"/>
        </w:rPr>
      </w:pPr>
    </w:p>
    <w:p w14:paraId="4584BDAE" w14:textId="249EA93E" w:rsidR="00D83BC4" w:rsidRPr="000909A0" w:rsidRDefault="00C11169" w:rsidP="00D83BC4">
      <w:pPr>
        <w:spacing w:line="360" w:lineRule="auto"/>
        <w:jc w:val="both"/>
        <w:rPr>
          <w:rFonts w:ascii="Times New Roman" w:eastAsia="Times New Roman" w:hAnsi="Times New Roman" w:cs="Times New Roman"/>
        </w:rPr>
      </w:pPr>
      <w:r w:rsidRPr="000909A0">
        <w:rPr>
          <w:rFonts w:ascii="Times New Roman" w:eastAsia="Times New Roman" w:hAnsi="Times New Roman" w:cs="Times New Roman"/>
        </w:rPr>
        <w:t>Para ser beneficiario</w:t>
      </w:r>
      <w:r w:rsidR="00D83BC4" w:rsidRPr="000909A0">
        <w:rPr>
          <w:rFonts w:ascii="Times New Roman" w:eastAsia="Times New Roman" w:hAnsi="Times New Roman" w:cs="Times New Roman"/>
        </w:rPr>
        <w:t>, se establece que</w:t>
      </w:r>
      <w:r w:rsidRPr="000909A0">
        <w:rPr>
          <w:rFonts w:ascii="Times New Roman" w:eastAsia="Times New Roman" w:hAnsi="Times New Roman" w:cs="Times New Roman"/>
        </w:rPr>
        <w:t xml:space="preserve"> estos deben…</w:t>
      </w:r>
      <w:r w:rsidRPr="000909A0">
        <w:rPr>
          <w:rFonts w:ascii="Times New Roman" w:hAnsi="Times New Roman" w:cs="Times New Roman"/>
          <w:i/>
        </w:rPr>
        <w:t>contar con registro en el RENIECYT, adjuntar la información requerida en la convocatoria que emita el fondo sectorial correspondiente y resultar seleccionado de acuerdo con el procedimiento establecido en dicha convocatoria</w:t>
      </w:r>
      <w:r w:rsidRPr="000909A0">
        <w:rPr>
          <w:rFonts w:ascii="Times New Roman" w:hAnsi="Times New Roman" w:cs="Times New Roman"/>
        </w:rPr>
        <w:t xml:space="preserve"> </w:t>
      </w:r>
      <w:r w:rsidR="00D83BC4" w:rsidRPr="000909A0">
        <w:rPr>
          <w:rFonts w:ascii="Times New Roman" w:eastAsia="Times New Roman" w:hAnsi="Times New Roman" w:cs="Times New Roman"/>
          <w:i/>
        </w:rPr>
        <w:t>(</w:t>
      </w:r>
      <w:r w:rsidR="00D83BC4" w:rsidRPr="000909A0">
        <w:rPr>
          <w:rFonts w:ascii="Times New Roman" w:eastAsia="Times New Roman" w:hAnsi="Times New Roman" w:cs="Times New Roman"/>
        </w:rPr>
        <w:t>Numeral 3.3.3.1</w:t>
      </w:r>
      <w:r w:rsidR="00D83BC4" w:rsidRPr="000909A0">
        <w:rPr>
          <w:rFonts w:ascii="Times New Roman" w:eastAsia="Times New Roman" w:hAnsi="Times New Roman" w:cs="Times New Roman"/>
          <w:i/>
        </w:rPr>
        <w:t>)</w:t>
      </w:r>
      <w:r w:rsidR="00D83BC4" w:rsidRPr="000909A0">
        <w:rPr>
          <w:rFonts w:ascii="Times New Roman" w:eastAsia="Times New Roman" w:hAnsi="Times New Roman" w:cs="Times New Roman"/>
        </w:rPr>
        <w:t xml:space="preserve">  </w:t>
      </w:r>
    </w:p>
    <w:p w14:paraId="106D8FAF" w14:textId="77777777" w:rsidR="00D83BC4" w:rsidRPr="00D83BC4" w:rsidRDefault="00D83BC4" w:rsidP="00D83BC4">
      <w:pPr>
        <w:spacing w:line="360" w:lineRule="auto"/>
        <w:jc w:val="both"/>
        <w:rPr>
          <w:rFonts w:ascii="Times New Roman" w:eastAsia="Times New Roman" w:hAnsi="Times New Roman" w:cs="Times New Roman"/>
        </w:rPr>
      </w:pPr>
    </w:p>
    <w:p w14:paraId="562DED63" w14:textId="68853D59" w:rsidR="00D83BC4" w:rsidRPr="00D83BC4" w:rsidRDefault="00D83BC4" w:rsidP="00D83BC4">
      <w:pPr>
        <w:spacing w:line="360" w:lineRule="auto"/>
        <w:jc w:val="both"/>
        <w:rPr>
          <w:rFonts w:ascii="Times New Roman" w:eastAsia="Times New Roman" w:hAnsi="Times New Roman" w:cs="Times New Roman"/>
        </w:rPr>
      </w:pPr>
      <w:r w:rsidRPr="001261AA">
        <w:rPr>
          <w:rFonts w:ascii="Times New Roman" w:eastAsia="Times New Roman" w:hAnsi="Times New Roman" w:cs="Times New Roman"/>
        </w:rPr>
        <w:t>Es necesario, además, que las propuestas cumplan con los criterios de selección, que toma en cuenta el cuerpo de evaluadores, entre los cuales…</w:t>
      </w:r>
      <w:r w:rsidRPr="001261AA">
        <w:rPr>
          <w:rFonts w:ascii="Times New Roman" w:eastAsia="Times New Roman" w:hAnsi="Times New Roman" w:cs="Times New Roman"/>
          <w:i/>
        </w:rPr>
        <w:t>se podrán considerar los siguie</w:t>
      </w:r>
      <w:r w:rsidR="001261AA" w:rsidRPr="001261AA">
        <w:rPr>
          <w:rFonts w:ascii="Times New Roman" w:eastAsia="Times New Roman" w:hAnsi="Times New Roman" w:cs="Times New Roman"/>
          <w:i/>
        </w:rPr>
        <w:t xml:space="preserve">ntes: 1. Pertinencia, 2. Calidad, 3. Mérito </w:t>
      </w:r>
      <w:r w:rsidR="00A4290A" w:rsidRPr="001261AA">
        <w:rPr>
          <w:rFonts w:ascii="Times New Roman" w:eastAsia="Times New Roman" w:hAnsi="Times New Roman" w:cs="Times New Roman"/>
          <w:i/>
        </w:rPr>
        <w:t>y 4</w:t>
      </w:r>
      <w:r w:rsidR="001261AA" w:rsidRPr="001261AA">
        <w:rPr>
          <w:rFonts w:ascii="Times New Roman" w:eastAsia="Times New Roman" w:hAnsi="Times New Roman" w:cs="Times New Roman"/>
          <w:i/>
        </w:rPr>
        <w:t>.</w:t>
      </w:r>
      <w:r w:rsidRPr="001261AA">
        <w:rPr>
          <w:rFonts w:ascii="Times New Roman" w:eastAsia="Times New Roman" w:hAnsi="Times New Roman" w:cs="Times New Roman"/>
          <w:i/>
        </w:rPr>
        <w:t xml:space="preserve"> </w:t>
      </w:r>
      <w:r w:rsidR="001261AA" w:rsidRPr="001261AA">
        <w:rPr>
          <w:rFonts w:ascii="Times New Roman" w:eastAsia="Times New Roman" w:hAnsi="Times New Roman" w:cs="Times New Roman"/>
          <w:i/>
        </w:rPr>
        <w:t xml:space="preserve">Factibilidad </w:t>
      </w:r>
      <w:r w:rsidR="001261AA" w:rsidRPr="001261AA">
        <w:rPr>
          <w:rFonts w:ascii="Times New Roman" w:eastAsia="Times New Roman" w:hAnsi="Times New Roman" w:cs="Times New Roman"/>
        </w:rPr>
        <w:t>(Numeral 3.3.3</w:t>
      </w:r>
      <w:r w:rsidRPr="001261AA">
        <w:rPr>
          <w:rFonts w:ascii="Times New Roman" w:eastAsia="Times New Roman" w:hAnsi="Times New Roman" w:cs="Times New Roman"/>
        </w:rPr>
        <w:t>)</w:t>
      </w:r>
    </w:p>
    <w:p w14:paraId="3AF8CD60" w14:textId="77777777" w:rsidR="00D83BC4" w:rsidRPr="00D83BC4" w:rsidRDefault="00D83BC4" w:rsidP="00D83BC4">
      <w:pPr>
        <w:spacing w:line="360" w:lineRule="auto"/>
        <w:jc w:val="both"/>
        <w:rPr>
          <w:rFonts w:ascii="Times New Roman" w:eastAsia="Times New Roman" w:hAnsi="Times New Roman" w:cs="Times New Roman"/>
        </w:rPr>
      </w:pPr>
    </w:p>
    <w:p w14:paraId="6DE387F2" w14:textId="7DD85E15"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Cabe señalar que cada Fondo Sectorial se basa en lo prescrito por Reglas de Operación del programa para definir los criterios de elegibilidad de sus convocatorias. Estas pueden ahondar en la descripción de requisitos de selección, siempre que no contravengan los documentos normativos a los cuales se supeditan.</w:t>
      </w:r>
      <w:r w:rsidR="000909A0">
        <w:rPr>
          <w:rFonts w:ascii="Times New Roman" w:eastAsia="Times New Roman" w:hAnsi="Times New Roman" w:cs="Times New Roman"/>
        </w:rPr>
        <w:t xml:space="preserve"> </w:t>
      </w:r>
      <w:r w:rsidRPr="00D83BC4">
        <w:rPr>
          <w:rFonts w:ascii="Times New Roman" w:eastAsia="Times New Roman" w:hAnsi="Times New Roman" w:cs="Times New Roman"/>
        </w:rPr>
        <w:t>Asimismo, la disponibilidad presupuestal de cada fondo se erige como un supuesto externo del cual depende, en gran medida, el otorgamiento de recursos a los beneficiarios.</w:t>
      </w:r>
    </w:p>
    <w:p w14:paraId="4CE33424" w14:textId="77777777" w:rsidR="00D83BC4" w:rsidRPr="00D83BC4" w:rsidRDefault="00D83BC4" w:rsidP="00D83BC4">
      <w:pPr>
        <w:spacing w:line="360" w:lineRule="auto"/>
        <w:jc w:val="both"/>
        <w:rPr>
          <w:rFonts w:ascii="Times New Roman" w:eastAsia="Times New Roman" w:hAnsi="Times New Roman" w:cs="Times New Roman"/>
        </w:rPr>
      </w:pPr>
    </w:p>
    <w:p w14:paraId="43543234"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El tipo de intervención, en función de las modalidades bajo las cuales ésta se verifique, puede ser:</w:t>
      </w:r>
    </w:p>
    <w:p w14:paraId="6AA40EAD" w14:textId="77777777" w:rsidR="0014340F" w:rsidRDefault="0014340F" w:rsidP="00D83BC4">
      <w:pPr>
        <w:spacing w:line="360" w:lineRule="auto"/>
        <w:jc w:val="both"/>
      </w:pPr>
    </w:p>
    <w:p w14:paraId="54742ECC" w14:textId="020CB082" w:rsidR="0014340F" w:rsidRDefault="0014340F" w:rsidP="00D83BC4">
      <w:pPr>
        <w:spacing w:line="360" w:lineRule="auto"/>
        <w:jc w:val="both"/>
        <w:rPr>
          <w:rFonts w:ascii="Times New Roman" w:hAnsi="Times New Roman" w:cs="Times New Roman"/>
        </w:rPr>
      </w:pPr>
      <w:r w:rsidRPr="00A4290A">
        <w:rPr>
          <w:rFonts w:ascii="Times New Roman" w:hAnsi="Times New Roman" w:cs="Times New Roman"/>
          <w:b/>
        </w:rPr>
        <w:lastRenderedPageBreak/>
        <w:t>Investigación Científica Básica:</w:t>
      </w:r>
      <w:r w:rsidRPr="00A4290A">
        <w:rPr>
          <w:rFonts w:ascii="Times New Roman" w:hAnsi="Times New Roman" w:cs="Times New Roman"/>
        </w:rPr>
        <w:t xml:space="preserve"> Realizada con el objeto de generar nuevos conocimientos sobre los fundamentos de fenómenos y hechos observables, sin prever aplicación específica inmediata. </w:t>
      </w:r>
    </w:p>
    <w:p w14:paraId="3BDC2718" w14:textId="77777777" w:rsidR="000909A0" w:rsidRPr="00A4290A" w:rsidRDefault="000909A0" w:rsidP="00D83BC4">
      <w:pPr>
        <w:spacing w:line="360" w:lineRule="auto"/>
        <w:jc w:val="both"/>
        <w:rPr>
          <w:rFonts w:ascii="Times New Roman" w:hAnsi="Times New Roman" w:cs="Times New Roman"/>
          <w:b/>
        </w:rPr>
      </w:pPr>
    </w:p>
    <w:p w14:paraId="55B919E9" w14:textId="07D4A296" w:rsidR="0014340F" w:rsidRDefault="0014340F" w:rsidP="00D83BC4">
      <w:pPr>
        <w:spacing w:line="360" w:lineRule="auto"/>
        <w:jc w:val="both"/>
        <w:rPr>
          <w:rFonts w:ascii="Times New Roman" w:hAnsi="Times New Roman" w:cs="Times New Roman"/>
        </w:rPr>
      </w:pPr>
      <w:r w:rsidRPr="00A4290A">
        <w:rPr>
          <w:rFonts w:ascii="Times New Roman" w:hAnsi="Times New Roman" w:cs="Times New Roman"/>
          <w:b/>
        </w:rPr>
        <w:t>Investigación Científica Aplicada:</w:t>
      </w:r>
      <w:r w:rsidRPr="00A4290A">
        <w:rPr>
          <w:rFonts w:ascii="Times New Roman" w:hAnsi="Times New Roman" w:cs="Times New Roman"/>
        </w:rPr>
        <w:t xml:space="preserve"> Realizada para la adquisición de nuevos conocimientos, dirigida hacia un objetivo o fin práctico, que responda a una demanda específica determinada. </w:t>
      </w:r>
    </w:p>
    <w:p w14:paraId="036DF6F7" w14:textId="77777777" w:rsidR="000909A0" w:rsidRPr="00A4290A" w:rsidRDefault="000909A0" w:rsidP="00D83BC4">
      <w:pPr>
        <w:spacing w:line="360" w:lineRule="auto"/>
        <w:jc w:val="both"/>
        <w:rPr>
          <w:rFonts w:ascii="Times New Roman" w:hAnsi="Times New Roman" w:cs="Times New Roman"/>
        </w:rPr>
      </w:pPr>
    </w:p>
    <w:p w14:paraId="308BEE03" w14:textId="77777777" w:rsidR="0014340F" w:rsidRPr="00A4290A" w:rsidRDefault="0014340F" w:rsidP="00D83BC4">
      <w:pPr>
        <w:spacing w:line="360" w:lineRule="auto"/>
        <w:jc w:val="both"/>
        <w:rPr>
          <w:rFonts w:ascii="Times New Roman" w:hAnsi="Times New Roman" w:cs="Times New Roman"/>
        </w:rPr>
      </w:pPr>
      <w:r w:rsidRPr="00A4290A">
        <w:rPr>
          <w:rFonts w:ascii="Times New Roman" w:hAnsi="Times New Roman" w:cs="Times New Roman"/>
          <w:b/>
        </w:rPr>
        <w:t>Desarrollo tecnológico:</w:t>
      </w:r>
      <w:r w:rsidRPr="00A4290A">
        <w:rPr>
          <w:rFonts w:ascii="Times New Roman" w:hAnsi="Times New Roman" w:cs="Times New Roman"/>
        </w:rPr>
        <w:t xml:space="preserve"> Uso sistemático del conocimiento y la investigación dirigidos hacia la producción de materiales, dispositivos, sistemas o métodos incluyendo el diseño, desarrollo, mejora de prototipos, procesos, productos, servicios o modelos organizativos (LCTI). </w:t>
      </w:r>
    </w:p>
    <w:p w14:paraId="64969083" w14:textId="77777777" w:rsidR="0014340F" w:rsidRPr="00A4290A" w:rsidRDefault="0014340F" w:rsidP="00D83BC4">
      <w:pPr>
        <w:spacing w:line="360" w:lineRule="auto"/>
        <w:jc w:val="both"/>
        <w:rPr>
          <w:rFonts w:ascii="Times New Roman" w:hAnsi="Times New Roman" w:cs="Times New Roman"/>
        </w:rPr>
      </w:pPr>
    </w:p>
    <w:p w14:paraId="17E22FEC" w14:textId="5CA28683" w:rsidR="0014340F" w:rsidRPr="00A4290A" w:rsidRDefault="0014340F" w:rsidP="00D83BC4">
      <w:pPr>
        <w:spacing w:line="360" w:lineRule="auto"/>
        <w:jc w:val="both"/>
        <w:rPr>
          <w:rFonts w:ascii="Times New Roman" w:eastAsia="Times New Roman" w:hAnsi="Times New Roman" w:cs="Times New Roman"/>
        </w:rPr>
      </w:pPr>
      <w:r w:rsidRPr="00A4290A">
        <w:rPr>
          <w:rFonts w:ascii="Times New Roman" w:hAnsi="Times New Roman" w:cs="Times New Roman"/>
          <w:b/>
        </w:rPr>
        <w:t>Innovación:</w:t>
      </w:r>
      <w:r w:rsidRPr="00A4290A">
        <w:rPr>
          <w:rFonts w:ascii="Times New Roman" w:hAnsi="Times New Roman" w:cs="Times New Roman"/>
        </w:rPr>
        <w:t xml:space="preserve"> Introducción de un nuevo, o significativamente mejorado, producto (bien o servicio), de un proceso, de un método de comercialización o de un nuevo método organizativo, en las prácticas internas de la empresa, la organización del lugar de trabajo o las relaciones exteriores.</w:t>
      </w:r>
    </w:p>
    <w:p w14:paraId="2D20756A" w14:textId="77777777" w:rsidR="00D579FE" w:rsidRDefault="00D579FE" w:rsidP="00D83BC4">
      <w:pPr>
        <w:spacing w:line="360" w:lineRule="auto"/>
        <w:jc w:val="both"/>
        <w:rPr>
          <w:rFonts w:ascii="Times New Roman" w:eastAsia="Times New Roman" w:hAnsi="Times New Roman" w:cs="Times New Roman"/>
        </w:rPr>
      </w:pPr>
    </w:p>
    <w:p w14:paraId="67EC0CF1" w14:textId="499325DD"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Los montos y modalidades, deberán ser congruentes con el alcance de los objetivos y metas planteados para el cumplimiento del Programa, y estarán sujetos a la disponibilidad </w:t>
      </w:r>
      <w:r w:rsidR="00D579FE" w:rsidRPr="00D83BC4">
        <w:rPr>
          <w:rFonts w:ascii="Times New Roman" w:eastAsia="Times New Roman" w:hAnsi="Times New Roman" w:cs="Times New Roman"/>
        </w:rPr>
        <w:t>presupuestal</w:t>
      </w:r>
      <w:r w:rsidR="00D579FE">
        <w:rPr>
          <w:rFonts w:ascii="Times New Roman" w:eastAsia="Times New Roman" w:hAnsi="Times New Roman" w:cs="Times New Roman"/>
        </w:rPr>
        <w:t>.</w:t>
      </w:r>
    </w:p>
    <w:p w14:paraId="65B971F5" w14:textId="2CA80420" w:rsidR="00D83BC4" w:rsidRDefault="00D83BC4" w:rsidP="00D83BC4">
      <w:pPr>
        <w:spacing w:line="360" w:lineRule="auto"/>
        <w:jc w:val="both"/>
        <w:rPr>
          <w:rFonts w:ascii="Times New Roman" w:hAnsi="Times New Roman" w:cs="Times New Roman"/>
        </w:rPr>
      </w:pPr>
      <w:bookmarkStart w:id="45" w:name="_Toc447611680"/>
    </w:p>
    <w:p w14:paraId="44B30169" w14:textId="224A056B" w:rsidR="000909A0" w:rsidRDefault="000909A0" w:rsidP="00D83BC4">
      <w:pPr>
        <w:spacing w:line="360" w:lineRule="auto"/>
        <w:jc w:val="both"/>
        <w:rPr>
          <w:rFonts w:ascii="Times New Roman" w:hAnsi="Times New Roman" w:cs="Times New Roman"/>
        </w:rPr>
      </w:pPr>
    </w:p>
    <w:p w14:paraId="0CBE9F68" w14:textId="07F621D7" w:rsidR="000909A0" w:rsidRDefault="000909A0" w:rsidP="00D83BC4">
      <w:pPr>
        <w:spacing w:line="360" w:lineRule="auto"/>
        <w:jc w:val="both"/>
        <w:rPr>
          <w:rFonts w:ascii="Times New Roman" w:hAnsi="Times New Roman" w:cs="Times New Roman"/>
        </w:rPr>
      </w:pPr>
    </w:p>
    <w:p w14:paraId="087CEC68" w14:textId="3B860735" w:rsidR="000909A0" w:rsidRDefault="000909A0" w:rsidP="00D83BC4">
      <w:pPr>
        <w:spacing w:line="360" w:lineRule="auto"/>
        <w:jc w:val="both"/>
        <w:rPr>
          <w:rFonts w:ascii="Times New Roman" w:hAnsi="Times New Roman" w:cs="Times New Roman"/>
        </w:rPr>
      </w:pPr>
    </w:p>
    <w:p w14:paraId="1FCF434A" w14:textId="6D5528D9" w:rsidR="000909A0" w:rsidRDefault="000909A0" w:rsidP="00D83BC4">
      <w:pPr>
        <w:spacing w:line="360" w:lineRule="auto"/>
        <w:jc w:val="both"/>
        <w:rPr>
          <w:rFonts w:ascii="Times New Roman" w:hAnsi="Times New Roman" w:cs="Times New Roman"/>
        </w:rPr>
      </w:pPr>
    </w:p>
    <w:p w14:paraId="770D0B28" w14:textId="4A720753" w:rsidR="000909A0" w:rsidRDefault="000909A0" w:rsidP="00D83BC4">
      <w:pPr>
        <w:spacing w:line="360" w:lineRule="auto"/>
        <w:jc w:val="both"/>
        <w:rPr>
          <w:rFonts w:ascii="Times New Roman" w:hAnsi="Times New Roman" w:cs="Times New Roman"/>
        </w:rPr>
      </w:pPr>
    </w:p>
    <w:p w14:paraId="138FD67E" w14:textId="1024635D" w:rsidR="000909A0" w:rsidRDefault="000909A0" w:rsidP="00D83BC4">
      <w:pPr>
        <w:spacing w:line="360" w:lineRule="auto"/>
        <w:jc w:val="both"/>
        <w:rPr>
          <w:rFonts w:ascii="Times New Roman" w:hAnsi="Times New Roman" w:cs="Times New Roman"/>
        </w:rPr>
      </w:pPr>
    </w:p>
    <w:p w14:paraId="5F04941D" w14:textId="4DB3189E" w:rsidR="000909A0" w:rsidRDefault="000909A0" w:rsidP="00D83BC4">
      <w:pPr>
        <w:spacing w:line="360" w:lineRule="auto"/>
        <w:jc w:val="both"/>
        <w:rPr>
          <w:rFonts w:ascii="Times New Roman" w:hAnsi="Times New Roman" w:cs="Times New Roman"/>
        </w:rPr>
      </w:pPr>
    </w:p>
    <w:p w14:paraId="6AC43771" w14:textId="048FE649" w:rsidR="000909A0" w:rsidRDefault="000909A0" w:rsidP="00D83BC4">
      <w:pPr>
        <w:spacing w:line="360" w:lineRule="auto"/>
        <w:jc w:val="both"/>
        <w:rPr>
          <w:rFonts w:ascii="Times New Roman" w:hAnsi="Times New Roman" w:cs="Times New Roman"/>
        </w:rPr>
      </w:pPr>
    </w:p>
    <w:p w14:paraId="1F823824" w14:textId="61B08AB4" w:rsidR="000909A0" w:rsidRDefault="000909A0" w:rsidP="00D83BC4">
      <w:pPr>
        <w:spacing w:line="360" w:lineRule="auto"/>
        <w:jc w:val="both"/>
        <w:rPr>
          <w:rFonts w:ascii="Times New Roman" w:hAnsi="Times New Roman" w:cs="Times New Roman"/>
        </w:rPr>
      </w:pPr>
    </w:p>
    <w:p w14:paraId="4CC5FC1F" w14:textId="62661E35" w:rsidR="000909A0" w:rsidRDefault="000909A0" w:rsidP="00D83BC4">
      <w:pPr>
        <w:spacing w:line="360" w:lineRule="auto"/>
        <w:jc w:val="both"/>
        <w:rPr>
          <w:rFonts w:ascii="Times New Roman" w:hAnsi="Times New Roman" w:cs="Times New Roman"/>
        </w:rPr>
      </w:pPr>
    </w:p>
    <w:p w14:paraId="02A1B525" w14:textId="10AEF069" w:rsidR="000909A0" w:rsidRDefault="000909A0" w:rsidP="00D83BC4">
      <w:pPr>
        <w:spacing w:line="360" w:lineRule="auto"/>
        <w:jc w:val="both"/>
        <w:rPr>
          <w:rFonts w:ascii="Times New Roman" w:hAnsi="Times New Roman" w:cs="Times New Roman"/>
        </w:rPr>
      </w:pPr>
    </w:p>
    <w:p w14:paraId="1655C03D" w14:textId="46292E18" w:rsidR="00D83BC4" w:rsidRDefault="00D83BC4" w:rsidP="00014207">
      <w:pPr>
        <w:pStyle w:val="Ttulo2"/>
        <w:rPr>
          <w:rFonts w:ascii="Times New Roman" w:hAnsi="Times New Roman" w:cs="Times New Roman"/>
          <w:b/>
        </w:rPr>
      </w:pPr>
      <w:bookmarkStart w:id="46" w:name="_Toc32920335"/>
      <w:r w:rsidRPr="00D83BC4">
        <w:rPr>
          <w:rFonts w:ascii="Times New Roman" w:hAnsi="Times New Roman" w:cs="Times New Roman"/>
          <w:b/>
        </w:rPr>
        <w:lastRenderedPageBreak/>
        <w:t>V.2. Etapas de la intervención.</w:t>
      </w:r>
      <w:bookmarkEnd w:id="45"/>
      <w:bookmarkEnd w:id="46"/>
    </w:p>
    <w:p w14:paraId="34DA276F" w14:textId="3027A990" w:rsidR="000909A0" w:rsidRDefault="000909A0" w:rsidP="00D83BC4">
      <w:pPr>
        <w:spacing w:line="360" w:lineRule="auto"/>
        <w:jc w:val="both"/>
        <w:rPr>
          <w:rFonts w:ascii="Times New Roman" w:hAnsi="Times New Roman" w:cs="Times New Roman"/>
          <w:b/>
        </w:rPr>
      </w:pPr>
    </w:p>
    <w:p w14:paraId="7CA0C3CA" w14:textId="7819A8C0" w:rsidR="000909A0" w:rsidRPr="00B25602" w:rsidRDefault="000909A0" w:rsidP="000909A0">
      <w:pPr>
        <w:spacing w:line="360" w:lineRule="auto"/>
        <w:jc w:val="center"/>
        <w:rPr>
          <w:rFonts w:ascii="Times New Roman" w:hAnsi="Times New Roman" w:cs="Times New Roman"/>
          <w:b/>
          <w:color w:val="323E4F" w:themeColor="text2" w:themeShade="BF"/>
        </w:rPr>
      </w:pPr>
      <w:r w:rsidRPr="00B25602">
        <w:rPr>
          <w:rFonts w:ascii="Times New Roman" w:hAnsi="Times New Roman" w:cs="Times New Roman"/>
          <w:b/>
          <w:color w:val="323E4F" w:themeColor="text2" w:themeShade="BF"/>
        </w:rPr>
        <w:t>Tabla 4. Etapas de la intervención</w:t>
      </w:r>
    </w:p>
    <w:tbl>
      <w:tblPr>
        <w:tblW w:w="9087" w:type="dxa"/>
        <w:jc w:val="center"/>
        <w:tblCellMar>
          <w:left w:w="70" w:type="dxa"/>
          <w:right w:w="70" w:type="dxa"/>
        </w:tblCellMar>
        <w:tblLook w:val="04A0" w:firstRow="1" w:lastRow="0" w:firstColumn="1" w:lastColumn="0" w:noHBand="0" w:noVBand="1"/>
      </w:tblPr>
      <w:tblGrid>
        <w:gridCol w:w="724"/>
        <w:gridCol w:w="992"/>
        <w:gridCol w:w="2674"/>
        <w:gridCol w:w="1012"/>
        <w:gridCol w:w="3685"/>
      </w:tblGrid>
      <w:tr w:rsidR="00D83BC4" w:rsidRPr="00D83BC4" w14:paraId="33C6D3D5" w14:textId="77777777" w:rsidTr="000909A0">
        <w:trPr>
          <w:trHeight w:val="7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DCF48"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C05DDE3"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Si</w:t>
            </w:r>
          </w:p>
        </w:tc>
        <w:tc>
          <w:tcPr>
            <w:tcW w:w="2674" w:type="dxa"/>
            <w:tcBorders>
              <w:top w:val="single" w:sz="4" w:space="0" w:color="auto"/>
              <w:left w:val="nil"/>
              <w:bottom w:val="single" w:sz="4" w:space="0" w:color="auto"/>
              <w:right w:val="single" w:sz="4" w:space="0" w:color="auto"/>
            </w:tcBorders>
            <w:shd w:val="clear" w:color="auto" w:fill="auto"/>
            <w:vAlign w:val="center"/>
            <w:hideMark/>
          </w:tcPr>
          <w:p w14:paraId="181E3A6A"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Si los sectores disponen de los resultados de los proyectos para atender sus demandas…</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5AB3AC07"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Entonces</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39DB793C"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val="es-MX" w:eastAsia="es-MX"/>
              </w:rPr>
              <w:t xml:space="preserve"> Sus capacidades científicas, tecnológicas y de innovación se fortalecen.</w:t>
            </w:r>
          </w:p>
        </w:tc>
      </w:tr>
      <w:tr w:rsidR="00D83BC4" w:rsidRPr="00D83BC4" w14:paraId="0E8B3D17" w14:textId="77777777" w:rsidTr="000909A0">
        <w:trPr>
          <w:trHeight w:val="1200"/>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DB94E78"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5</w:t>
            </w:r>
          </w:p>
        </w:tc>
        <w:tc>
          <w:tcPr>
            <w:tcW w:w="992" w:type="dxa"/>
            <w:tcBorders>
              <w:top w:val="nil"/>
              <w:left w:val="nil"/>
              <w:bottom w:val="single" w:sz="4" w:space="0" w:color="auto"/>
              <w:right w:val="single" w:sz="4" w:space="0" w:color="auto"/>
            </w:tcBorders>
            <w:shd w:val="clear" w:color="auto" w:fill="auto"/>
            <w:vAlign w:val="center"/>
            <w:hideMark/>
          </w:tcPr>
          <w:p w14:paraId="7904455B"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Si</w:t>
            </w:r>
          </w:p>
        </w:tc>
        <w:tc>
          <w:tcPr>
            <w:tcW w:w="2674" w:type="dxa"/>
            <w:tcBorders>
              <w:top w:val="nil"/>
              <w:left w:val="nil"/>
              <w:bottom w:val="single" w:sz="4" w:space="0" w:color="auto"/>
              <w:right w:val="single" w:sz="4" w:space="0" w:color="auto"/>
            </w:tcBorders>
            <w:shd w:val="clear" w:color="auto" w:fill="auto"/>
            <w:vAlign w:val="center"/>
            <w:hideMark/>
          </w:tcPr>
          <w:p w14:paraId="33E5A653"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val="es-MX" w:eastAsia="es-MX"/>
              </w:rPr>
              <w:t>Si se generan nuevos productos, tangibles o intangibles, de carácter científico, tecnológico e innovativo para atender las necesidades de los sectores…</w:t>
            </w:r>
          </w:p>
        </w:tc>
        <w:tc>
          <w:tcPr>
            <w:tcW w:w="1012" w:type="dxa"/>
            <w:tcBorders>
              <w:top w:val="nil"/>
              <w:left w:val="nil"/>
              <w:bottom w:val="single" w:sz="4" w:space="0" w:color="auto"/>
              <w:right w:val="single" w:sz="4" w:space="0" w:color="auto"/>
            </w:tcBorders>
            <w:shd w:val="clear" w:color="auto" w:fill="auto"/>
            <w:vAlign w:val="center"/>
            <w:hideMark/>
          </w:tcPr>
          <w:p w14:paraId="0C2A9825"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Entonces</w:t>
            </w:r>
          </w:p>
        </w:tc>
        <w:tc>
          <w:tcPr>
            <w:tcW w:w="3685" w:type="dxa"/>
            <w:tcBorders>
              <w:top w:val="nil"/>
              <w:left w:val="nil"/>
              <w:bottom w:val="single" w:sz="4" w:space="0" w:color="auto"/>
              <w:right w:val="single" w:sz="4" w:space="0" w:color="auto"/>
            </w:tcBorders>
            <w:shd w:val="clear" w:color="auto" w:fill="auto"/>
            <w:vAlign w:val="center"/>
            <w:hideMark/>
          </w:tcPr>
          <w:p w14:paraId="591B7CAF"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val="es-MX" w:eastAsia="es-MX"/>
              </w:rPr>
              <w:t>Los Sectores pueden disponer de los productos generados para atender sus necesidades.</w:t>
            </w:r>
          </w:p>
        </w:tc>
      </w:tr>
      <w:tr w:rsidR="00D83BC4" w:rsidRPr="00D83BC4" w14:paraId="4F1A76C3" w14:textId="77777777" w:rsidTr="000909A0">
        <w:trPr>
          <w:trHeight w:val="1200"/>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EB343F8"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4</w:t>
            </w:r>
          </w:p>
        </w:tc>
        <w:tc>
          <w:tcPr>
            <w:tcW w:w="992" w:type="dxa"/>
            <w:tcBorders>
              <w:top w:val="nil"/>
              <w:left w:val="nil"/>
              <w:bottom w:val="single" w:sz="4" w:space="0" w:color="auto"/>
              <w:right w:val="single" w:sz="4" w:space="0" w:color="auto"/>
            </w:tcBorders>
            <w:shd w:val="clear" w:color="auto" w:fill="auto"/>
            <w:vAlign w:val="center"/>
            <w:hideMark/>
          </w:tcPr>
          <w:p w14:paraId="0E4345CE"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Si</w:t>
            </w:r>
          </w:p>
        </w:tc>
        <w:tc>
          <w:tcPr>
            <w:tcW w:w="2674" w:type="dxa"/>
            <w:tcBorders>
              <w:top w:val="nil"/>
              <w:left w:val="nil"/>
              <w:bottom w:val="single" w:sz="4" w:space="0" w:color="auto"/>
              <w:right w:val="single" w:sz="4" w:space="0" w:color="auto"/>
            </w:tcBorders>
            <w:shd w:val="clear" w:color="auto" w:fill="auto"/>
            <w:vAlign w:val="center"/>
            <w:hideMark/>
          </w:tcPr>
          <w:p w14:paraId="45D9B8F7" w14:textId="72BA19E0"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val="es-MX" w:eastAsia="es-MX"/>
              </w:rPr>
              <w:t xml:space="preserve">Si los proponentes reciben </w:t>
            </w:r>
            <w:r w:rsidR="000909A0" w:rsidRPr="00D83BC4">
              <w:rPr>
                <w:rFonts w:ascii="Cambria" w:eastAsia="Times New Roman" w:hAnsi="Cambria" w:cs="Times New Roman"/>
                <w:b/>
                <w:bCs/>
                <w:sz w:val="18"/>
                <w:szCs w:val="18"/>
                <w:lang w:val="es-MX" w:eastAsia="es-MX"/>
              </w:rPr>
              <w:t>recursos económicos</w:t>
            </w:r>
            <w:r w:rsidRPr="00D83BC4">
              <w:rPr>
                <w:rFonts w:ascii="Cambria" w:eastAsia="Times New Roman" w:hAnsi="Cambria" w:cs="Times New Roman"/>
                <w:b/>
                <w:bCs/>
                <w:sz w:val="18"/>
                <w:szCs w:val="18"/>
                <w:lang w:val="es-MX" w:eastAsia="es-MX"/>
              </w:rPr>
              <w:t xml:space="preserve"> y desarrollan su plan de trabajo…</w:t>
            </w:r>
          </w:p>
        </w:tc>
        <w:tc>
          <w:tcPr>
            <w:tcW w:w="1012" w:type="dxa"/>
            <w:tcBorders>
              <w:top w:val="nil"/>
              <w:left w:val="nil"/>
              <w:bottom w:val="single" w:sz="4" w:space="0" w:color="auto"/>
              <w:right w:val="single" w:sz="4" w:space="0" w:color="auto"/>
            </w:tcBorders>
            <w:shd w:val="clear" w:color="auto" w:fill="auto"/>
            <w:vAlign w:val="center"/>
            <w:hideMark/>
          </w:tcPr>
          <w:p w14:paraId="4C99C05C"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Entonces</w:t>
            </w:r>
          </w:p>
        </w:tc>
        <w:tc>
          <w:tcPr>
            <w:tcW w:w="3685" w:type="dxa"/>
            <w:tcBorders>
              <w:top w:val="nil"/>
              <w:left w:val="nil"/>
              <w:bottom w:val="single" w:sz="4" w:space="0" w:color="auto"/>
              <w:right w:val="single" w:sz="4" w:space="0" w:color="auto"/>
            </w:tcBorders>
            <w:shd w:val="clear" w:color="auto" w:fill="auto"/>
            <w:vAlign w:val="center"/>
            <w:hideMark/>
          </w:tcPr>
          <w:p w14:paraId="41756117"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val="es-MX" w:eastAsia="es-MX"/>
              </w:rPr>
              <w:t>Se pueden generar nuevos productos, tangibles o intangibles, de carácter científico, tecnológico e innovativo que atiendan las demandas del Sector.</w:t>
            </w:r>
          </w:p>
        </w:tc>
      </w:tr>
      <w:tr w:rsidR="00D83BC4" w:rsidRPr="00D83BC4" w14:paraId="4DEC6822" w14:textId="77777777" w:rsidTr="000909A0">
        <w:trPr>
          <w:trHeight w:val="960"/>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54AF4A6"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3</w:t>
            </w:r>
          </w:p>
        </w:tc>
        <w:tc>
          <w:tcPr>
            <w:tcW w:w="992" w:type="dxa"/>
            <w:tcBorders>
              <w:top w:val="nil"/>
              <w:left w:val="nil"/>
              <w:bottom w:val="single" w:sz="4" w:space="0" w:color="auto"/>
              <w:right w:val="single" w:sz="4" w:space="0" w:color="auto"/>
            </w:tcBorders>
            <w:shd w:val="clear" w:color="auto" w:fill="auto"/>
            <w:vAlign w:val="center"/>
            <w:hideMark/>
          </w:tcPr>
          <w:p w14:paraId="67986E07"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Si</w:t>
            </w:r>
          </w:p>
        </w:tc>
        <w:tc>
          <w:tcPr>
            <w:tcW w:w="2674" w:type="dxa"/>
            <w:tcBorders>
              <w:top w:val="nil"/>
              <w:left w:val="nil"/>
              <w:bottom w:val="single" w:sz="4" w:space="0" w:color="auto"/>
              <w:right w:val="single" w:sz="4" w:space="0" w:color="auto"/>
            </w:tcBorders>
            <w:shd w:val="clear" w:color="auto" w:fill="auto"/>
            <w:vAlign w:val="center"/>
            <w:hideMark/>
          </w:tcPr>
          <w:p w14:paraId="5DC1E7B2"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val="es-MX" w:eastAsia="es-MX"/>
              </w:rPr>
              <w:t>Si las propuestas presentadas por los participantes son evaluadas positivamente y aprobadas por el CTA en función de su calidad…</w:t>
            </w:r>
          </w:p>
        </w:tc>
        <w:tc>
          <w:tcPr>
            <w:tcW w:w="1012" w:type="dxa"/>
            <w:tcBorders>
              <w:top w:val="nil"/>
              <w:left w:val="nil"/>
              <w:bottom w:val="single" w:sz="4" w:space="0" w:color="auto"/>
              <w:right w:val="single" w:sz="4" w:space="0" w:color="auto"/>
            </w:tcBorders>
            <w:shd w:val="clear" w:color="auto" w:fill="auto"/>
            <w:vAlign w:val="center"/>
            <w:hideMark/>
          </w:tcPr>
          <w:p w14:paraId="72E279BE"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Entonces</w:t>
            </w:r>
          </w:p>
        </w:tc>
        <w:tc>
          <w:tcPr>
            <w:tcW w:w="3685" w:type="dxa"/>
            <w:tcBorders>
              <w:top w:val="nil"/>
              <w:left w:val="nil"/>
              <w:bottom w:val="single" w:sz="4" w:space="0" w:color="auto"/>
              <w:right w:val="single" w:sz="4" w:space="0" w:color="auto"/>
            </w:tcBorders>
            <w:shd w:val="clear" w:color="auto" w:fill="auto"/>
            <w:vAlign w:val="center"/>
            <w:hideMark/>
          </w:tcPr>
          <w:p w14:paraId="7565654E" w14:textId="406036F5"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val="es-MX" w:eastAsia="es-MX"/>
              </w:rPr>
              <w:t>El Fondo Sectorial asigna recursos a los proponentes para desarrollar su plan de trabajo.</w:t>
            </w:r>
          </w:p>
        </w:tc>
      </w:tr>
      <w:tr w:rsidR="00D83BC4" w:rsidRPr="00D83BC4" w14:paraId="7B7B285C" w14:textId="77777777" w:rsidTr="000909A0">
        <w:trPr>
          <w:trHeight w:val="1440"/>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163B181"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2</w:t>
            </w:r>
          </w:p>
        </w:tc>
        <w:tc>
          <w:tcPr>
            <w:tcW w:w="992" w:type="dxa"/>
            <w:tcBorders>
              <w:top w:val="nil"/>
              <w:left w:val="nil"/>
              <w:bottom w:val="single" w:sz="4" w:space="0" w:color="auto"/>
              <w:right w:val="single" w:sz="4" w:space="0" w:color="auto"/>
            </w:tcBorders>
            <w:shd w:val="clear" w:color="auto" w:fill="auto"/>
            <w:vAlign w:val="center"/>
            <w:hideMark/>
          </w:tcPr>
          <w:p w14:paraId="689D4A79"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Si</w:t>
            </w:r>
          </w:p>
        </w:tc>
        <w:tc>
          <w:tcPr>
            <w:tcW w:w="2674" w:type="dxa"/>
            <w:tcBorders>
              <w:top w:val="nil"/>
              <w:left w:val="nil"/>
              <w:bottom w:val="single" w:sz="4" w:space="0" w:color="auto"/>
              <w:right w:val="single" w:sz="4" w:space="0" w:color="auto"/>
            </w:tcBorders>
            <w:shd w:val="clear" w:color="auto" w:fill="auto"/>
            <w:vAlign w:val="center"/>
            <w:hideMark/>
          </w:tcPr>
          <w:p w14:paraId="753EEF07"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val="es-MX" w:eastAsia="es-MX"/>
              </w:rPr>
              <w:t>Si se emiten Convocatorias Públicas para seleccionar proyectos de Investigación, Desarrollo Tecnológico e Innovación…</w:t>
            </w:r>
          </w:p>
        </w:tc>
        <w:tc>
          <w:tcPr>
            <w:tcW w:w="1012" w:type="dxa"/>
            <w:tcBorders>
              <w:top w:val="nil"/>
              <w:left w:val="nil"/>
              <w:bottom w:val="single" w:sz="4" w:space="0" w:color="auto"/>
              <w:right w:val="single" w:sz="4" w:space="0" w:color="auto"/>
            </w:tcBorders>
            <w:shd w:val="clear" w:color="auto" w:fill="auto"/>
            <w:vAlign w:val="center"/>
            <w:hideMark/>
          </w:tcPr>
          <w:p w14:paraId="0A64DA81"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Entonces</w:t>
            </w:r>
          </w:p>
        </w:tc>
        <w:tc>
          <w:tcPr>
            <w:tcW w:w="3685" w:type="dxa"/>
            <w:tcBorders>
              <w:top w:val="nil"/>
              <w:left w:val="nil"/>
              <w:bottom w:val="single" w:sz="4" w:space="0" w:color="auto"/>
              <w:right w:val="single" w:sz="4" w:space="0" w:color="auto"/>
            </w:tcBorders>
            <w:shd w:val="clear" w:color="auto" w:fill="auto"/>
            <w:vAlign w:val="center"/>
            <w:hideMark/>
          </w:tcPr>
          <w:p w14:paraId="5A1F3D2F"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val="es-MX" w:eastAsia="es-MX"/>
              </w:rPr>
              <w:t xml:space="preserve">La comunidad científica, tecnológica, académica y empresarial puede participar con propuestas que tengan la capacidad de atender las demandas del Sector </w:t>
            </w:r>
          </w:p>
        </w:tc>
      </w:tr>
      <w:tr w:rsidR="00D83BC4" w:rsidRPr="00D83BC4" w14:paraId="26F551FE" w14:textId="77777777" w:rsidTr="000909A0">
        <w:trPr>
          <w:trHeight w:val="1680"/>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EC84E07"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25663F15"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Si</w:t>
            </w:r>
          </w:p>
        </w:tc>
        <w:tc>
          <w:tcPr>
            <w:tcW w:w="2674" w:type="dxa"/>
            <w:tcBorders>
              <w:top w:val="nil"/>
              <w:left w:val="nil"/>
              <w:bottom w:val="single" w:sz="4" w:space="0" w:color="auto"/>
              <w:right w:val="single" w:sz="4" w:space="0" w:color="auto"/>
            </w:tcBorders>
            <w:shd w:val="clear" w:color="auto" w:fill="auto"/>
            <w:vAlign w:val="center"/>
            <w:hideMark/>
          </w:tcPr>
          <w:p w14:paraId="5E8EC89E" w14:textId="51248F79"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val="es-MX" w:eastAsia="es-MX"/>
              </w:rPr>
              <w:t xml:space="preserve">Si existe cooperación entre los sectores de la APF y el </w:t>
            </w:r>
            <w:r w:rsidR="008922A3">
              <w:rPr>
                <w:rFonts w:ascii="Cambria" w:eastAsia="Times New Roman" w:hAnsi="Cambria" w:cs="Times New Roman"/>
                <w:b/>
                <w:bCs/>
                <w:sz w:val="18"/>
                <w:szCs w:val="18"/>
                <w:lang w:val="es-MX" w:eastAsia="es-MX"/>
              </w:rPr>
              <w:t>CONACYT</w:t>
            </w:r>
            <w:r w:rsidRPr="00D83BC4">
              <w:rPr>
                <w:rFonts w:ascii="Cambria" w:eastAsia="Times New Roman" w:hAnsi="Cambria" w:cs="Times New Roman"/>
                <w:b/>
                <w:bCs/>
                <w:sz w:val="18"/>
                <w:szCs w:val="18"/>
                <w:lang w:val="es-MX" w:eastAsia="es-MX"/>
              </w:rPr>
              <w:t xml:space="preserve"> para aportar recursos a las actividades de CTI…</w:t>
            </w:r>
          </w:p>
        </w:tc>
        <w:tc>
          <w:tcPr>
            <w:tcW w:w="1012" w:type="dxa"/>
            <w:tcBorders>
              <w:top w:val="nil"/>
              <w:left w:val="nil"/>
              <w:bottom w:val="single" w:sz="4" w:space="0" w:color="auto"/>
              <w:right w:val="single" w:sz="4" w:space="0" w:color="auto"/>
            </w:tcBorders>
            <w:shd w:val="clear" w:color="auto" w:fill="auto"/>
            <w:vAlign w:val="center"/>
            <w:hideMark/>
          </w:tcPr>
          <w:p w14:paraId="26B333E3"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eastAsia="es-MX"/>
              </w:rPr>
              <w:t>Entonces</w:t>
            </w:r>
          </w:p>
        </w:tc>
        <w:tc>
          <w:tcPr>
            <w:tcW w:w="3685" w:type="dxa"/>
            <w:tcBorders>
              <w:top w:val="nil"/>
              <w:left w:val="nil"/>
              <w:bottom w:val="single" w:sz="4" w:space="0" w:color="auto"/>
              <w:right w:val="single" w:sz="4" w:space="0" w:color="auto"/>
            </w:tcBorders>
            <w:shd w:val="clear" w:color="auto" w:fill="auto"/>
            <w:vAlign w:val="center"/>
            <w:hideMark/>
          </w:tcPr>
          <w:p w14:paraId="43DA40D0" w14:textId="77777777" w:rsidR="00D83BC4" w:rsidRPr="00D83BC4" w:rsidRDefault="00D83BC4" w:rsidP="00D83BC4">
            <w:pPr>
              <w:jc w:val="center"/>
              <w:rPr>
                <w:rFonts w:ascii="Cambria" w:eastAsia="Times New Roman" w:hAnsi="Cambria" w:cs="Times New Roman"/>
                <w:b/>
                <w:bCs/>
                <w:sz w:val="18"/>
                <w:szCs w:val="18"/>
                <w:lang w:val="es-MX" w:eastAsia="es-MX"/>
              </w:rPr>
            </w:pPr>
            <w:r w:rsidRPr="00D83BC4">
              <w:rPr>
                <w:rFonts w:ascii="Cambria" w:eastAsia="Times New Roman" w:hAnsi="Cambria" w:cs="Times New Roman"/>
                <w:b/>
                <w:bCs/>
                <w:sz w:val="18"/>
                <w:szCs w:val="18"/>
                <w:lang w:val="es-MX" w:eastAsia="es-MX"/>
              </w:rPr>
              <w:t>Se cuenta con recursos para emitir convocatorias públicas a la comunidad científica y tecnológica, para que éstos propongan soluciones y apoyen a los sectores en la atención y solución de sus demandas.</w:t>
            </w:r>
          </w:p>
        </w:tc>
      </w:tr>
    </w:tbl>
    <w:p w14:paraId="2C573C5D" w14:textId="6C605FB4" w:rsidR="00D83BC4" w:rsidRPr="000909A0" w:rsidRDefault="000909A0" w:rsidP="000909A0">
      <w:pPr>
        <w:spacing w:line="360" w:lineRule="auto"/>
        <w:ind w:left="426"/>
        <w:jc w:val="both"/>
        <w:rPr>
          <w:rFonts w:ascii="Times New Roman" w:eastAsia="Times New Roman" w:hAnsi="Times New Roman" w:cs="Times New Roman"/>
          <w:sz w:val="16"/>
          <w:szCs w:val="16"/>
        </w:rPr>
      </w:pPr>
      <w:r w:rsidRPr="000909A0">
        <w:rPr>
          <w:rFonts w:ascii="Times New Roman" w:eastAsia="Times New Roman" w:hAnsi="Times New Roman" w:cs="Times New Roman"/>
          <w:b/>
          <w:bCs/>
          <w:sz w:val="16"/>
          <w:szCs w:val="16"/>
        </w:rPr>
        <w:t>Fuente</w:t>
      </w:r>
      <w:r w:rsidRPr="000909A0">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E</w:t>
      </w:r>
      <w:r w:rsidRPr="000909A0">
        <w:rPr>
          <w:rFonts w:ascii="Times New Roman" w:eastAsia="Times New Roman" w:hAnsi="Times New Roman" w:cs="Times New Roman"/>
          <w:sz w:val="16"/>
          <w:szCs w:val="16"/>
        </w:rPr>
        <w:t>laboración propia</w:t>
      </w:r>
    </w:p>
    <w:p w14:paraId="2E25E87A" w14:textId="77777777" w:rsidR="008C4E0F" w:rsidRDefault="008C4E0F" w:rsidP="009458C6">
      <w:pPr>
        <w:rPr>
          <w:rFonts w:ascii="Times New Roman" w:eastAsia="Times New Roman" w:hAnsi="Times New Roman" w:cs="Times New Roman"/>
          <w:b/>
          <w:bCs/>
        </w:rPr>
      </w:pPr>
      <w:bookmarkStart w:id="47" w:name="_Toc453749494"/>
      <w:bookmarkEnd w:id="44"/>
    </w:p>
    <w:p w14:paraId="07A2C872" w14:textId="04A776BE" w:rsidR="00A55D88" w:rsidRPr="008A47EB" w:rsidRDefault="00D83BC4" w:rsidP="002C2BC1">
      <w:pPr>
        <w:rPr>
          <w:rFonts w:ascii="Times New Roman" w:eastAsia="Times New Roman" w:hAnsi="Times New Roman" w:cs="Times New Roman"/>
          <w:b/>
          <w:bCs/>
          <w:color w:val="2F5496" w:themeColor="accent1" w:themeShade="BF"/>
        </w:rPr>
      </w:pPr>
      <w:r w:rsidRPr="008A47EB">
        <w:rPr>
          <w:rFonts w:ascii="Times New Roman" w:eastAsia="Times New Roman" w:hAnsi="Times New Roman" w:cs="Times New Roman"/>
          <w:b/>
          <w:bCs/>
          <w:color w:val="2F5496" w:themeColor="accent1" w:themeShade="BF"/>
        </w:rPr>
        <w:t>V.2.1. Constitución de los Fondos Sectoriales</w:t>
      </w:r>
      <w:bookmarkEnd w:id="47"/>
    </w:p>
    <w:p w14:paraId="42F6CA85" w14:textId="77777777" w:rsidR="008C4E0F" w:rsidRPr="00A55D88" w:rsidRDefault="008C4E0F" w:rsidP="009458C6">
      <w:pPr>
        <w:rPr>
          <w:rFonts w:ascii="Times New Roman" w:eastAsia="Times New Roman" w:hAnsi="Times New Roman" w:cs="Times New Roman"/>
          <w:b/>
          <w:bCs/>
        </w:rPr>
      </w:pPr>
    </w:p>
    <w:p w14:paraId="7F6BBEC6" w14:textId="6BBC02C4" w:rsidR="00D83BC4" w:rsidRPr="00D83BC4" w:rsidRDefault="008922A3" w:rsidP="00D83BC4">
      <w:pPr>
        <w:spacing w:line="360" w:lineRule="auto"/>
        <w:jc w:val="both"/>
        <w:rPr>
          <w:rFonts w:ascii="Times New Roman" w:eastAsia="Times New Roman" w:hAnsi="Times New Roman" w:cs="Times New Roman"/>
        </w:rPr>
      </w:pPr>
      <w:r>
        <w:rPr>
          <w:rFonts w:ascii="Times New Roman" w:eastAsia="Times New Roman" w:hAnsi="Times New Roman" w:cs="Times New Roman"/>
        </w:rPr>
        <w:t>CONACYT</w:t>
      </w:r>
      <w:r w:rsidR="00D83BC4" w:rsidRPr="00D83BC4">
        <w:rPr>
          <w:rFonts w:ascii="Times New Roman" w:eastAsia="Times New Roman" w:hAnsi="Times New Roman" w:cs="Times New Roman"/>
        </w:rPr>
        <w:t xml:space="preserve">, como organismo rector de la política científica, tecnológica y de innovación del país mantiene una posición articuladora entre las instituciones y empresas del país que realizan investigación científica, tecnológica y de innovación y cuentan con la infraestructura física y humana para </w:t>
      </w:r>
      <w:r w:rsidR="00A55D88" w:rsidRPr="00D83BC4">
        <w:rPr>
          <w:rFonts w:ascii="Times New Roman" w:eastAsia="Times New Roman" w:hAnsi="Times New Roman" w:cs="Times New Roman"/>
        </w:rPr>
        <w:t>ello; y</w:t>
      </w:r>
      <w:r w:rsidR="00D83BC4" w:rsidRPr="00D83BC4">
        <w:rPr>
          <w:rFonts w:ascii="Times New Roman" w:eastAsia="Times New Roman" w:hAnsi="Times New Roman" w:cs="Times New Roman"/>
        </w:rPr>
        <w:t xml:space="preserve"> los organismos que requieren de investigación por la otra. </w:t>
      </w:r>
    </w:p>
    <w:p w14:paraId="6382C1A4" w14:textId="77777777" w:rsidR="00D83BC4" w:rsidRPr="00D83BC4" w:rsidRDefault="00D83BC4" w:rsidP="00D83BC4">
      <w:pPr>
        <w:spacing w:line="360" w:lineRule="auto"/>
        <w:jc w:val="both"/>
        <w:rPr>
          <w:rFonts w:ascii="Times New Roman" w:eastAsia="Times New Roman" w:hAnsi="Times New Roman" w:cs="Times New Roman"/>
        </w:rPr>
      </w:pPr>
    </w:p>
    <w:p w14:paraId="2A4B9968"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Este sólido engranaje es el que propicia la creación del Programa S192, cuyo objetivo es </w:t>
      </w:r>
      <w:r w:rsidRPr="00D83BC4">
        <w:rPr>
          <w:rFonts w:ascii="Times New Roman" w:eastAsia="Times New Roman" w:hAnsi="Times New Roman" w:cs="Times New Roman"/>
          <w:lang w:eastAsia="es-MX"/>
        </w:rPr>
        <w:t>contribuir con el mejoramiento de las capacidades científicas, tecnológicas y de innovación de los sectores de la Administración Pública Federal, cuya implementación redunde en beneficios a la sociedad mexicana, de conformidad con los lineamientos establecidos por el Programa Especial de Ciencia, Tecnología e Innovación (PECITI), del Plan Nacional de Desarrollo (PND), de la Ley de Ciencia y Tecnología (</w:t>
      </w:r>
      <w:proofErr w:type="spellStart"/>
      <w:r w:rsidRPr="00D83BC4">
        <w:rPr>
          <w:rFonts w:ascii="Times New Roman" w:eastAsia="Times New Roman" w:hAnsi="Times New Roman" w:cs="Times New Roman"/>
          <w:lang w:eastAsia="es-MX"/>
        </w:rPr>
        <w:t>LCyT</w:t>
      </w:r>
      <w:proofErr w:type="spellEnd"/>
      <w:r w:rsidRPr="00D83BC4">
        <w:rPr>
          <w:rFonts w:ascii="Times New Roman" w:eastAsia="Times New Roman" w:hAnsi="Times New Roman" w:cs="Times New Roman"/>
          <w:lang w:eastAsia="es-MX"/>
        </w:rPr>
        <w:t>) y de los Tratados en la materia de los cuales el Estado Mexicano forma parte.</w:t>
      </w:r>
    </w:p>
    <w:p w14:paraId="3148E2AE" w14:textId="77777777" w:rsidR="00D83BC4" w:rsidRPr="00D83BC4" w:rsidRDefault="00D83BC4" w:rsidP="00D83BC4">
      <w:pPr>
        <w:spacing w:line="360" w:lineRule="auto"/>
        <w:jc w:val="both"/>
        <w:rPr>
          <w:rFonts w:ascii="Times New Roman" w:eastAsia="Times New Roman" w:hAnsi="Times New Roman" w:cs="Times New Roman"/>
        </w:rPr>
      </w:pPr>
    </w:p>
    <w:p w14:paraId="542CF404"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Los Fondos Sectoriales son los instrumentos a través de los cuales se realiza la intervención gubernamental del Programa S192, constituidos y administrados mediante la figura de fideicomiso y no son considerados como entidades de la administración pública paraestatal, puesto que no tienen estructura orgánica ni personal propio para funcionar.</w:t>
      </w:r>
    </w:p>
    <w:p w14:paraId="5B9A303E" w14:textId="77777777" w:rsidR="00D83BC4" w:rsidRPr="00D83BC4" w:rsidRDefault="00D83BC4" w:rsidP="00D83BC4">
      <w:pPr>
        <w:spacing w:line="360" w:lineRule="auto"/>
        <w:jc w:val="both"/>
        <w:rPr>
          <w:rFonts w:ascii="Times New Roman" w:eastAsia="Times New Roman" w:hAnsi="Times New Roman" w:cs="Times New Roman"/>
        </w:rPr>
      </w:pPr>
    </w:p>
    <w:p w14:paraId="45399EDA"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Antes de la intervención propiamente dicha, es decir la constitución de los Fondos, es preciso realizar un conjunto de acciones que permitan su constitución.</w:t>
      </w:r>
    </w:p>
    <w:p w14:paraId="4E8FF35A" w14:textId="77777777" w:rsidR="00D83BC4" w:rsidRPr="00D83BC4" w:rsidRDefault="00D83BC4" w:rsidP="00D83BC4">
      <w:pPr>
        <w:spacing w:line="360" w:lineRule="auto"/>
        <w:jc w:val="both"/>
        <w:rPr>
          <w:rFonts w:ascii="Times New Roman" w:eastAsia="Times New Roman" w:hAnsi="Times New Roman" w:cs="Times New Roman"/>
        </w:rPr>
      </w:pPr>
    </w:p>
    <w:p w14:paraId="03779B97" w14:textId="387609F3" w:rsidR="00D83BC4" w:rsidRPr="00D83BC4" w:rsidRDefault="00D83BC4" w:rsidP="00D83BC4">
      <w:pPr>
        <w:numPr>
          <w:ilvl w:val="0"/>
          <w:numId w:val="12"/>
        </w:numPr>
        <w:spacing w:line="360" w:lineRule="auto"/>
        <w:ind w:left="360"/>
        <w:contextualSpacing/>
        <w:jc w:val="both"/>
        <w:rPr>
          <w:rFonts w:ascii="Times New Roman" w:eastAsia="Times New Roman" w:hAnsi="Times New Roman" w:cs="Times New Roman"/>
        </w:rPr>
      </w:pPr>
      <w:r w:rsidRPr="00D83BC4">
        <w:rPr>
          <w:rFonts w:ascii="Times New Roman" w:eastAsia="Times New Roman" w:hAnsi="Times New Roman" w:cs="Times New Roman"/>
        </w:rPr>
        <w:t xml:space="preserve">Reuniones de las altas autoridades del </w:t>
      </w:r>
      <w:r w:rsidR="008922A3">
        <w:rPr>
          <w:rFonts w:ascii="Times New Roman" w:eastAsia="Times New Roman" w:hAnsi="Times New Roman" w:cs="Times New Roman"/>
        </w:rPr>
        <w:t>CONACYT</w:t>
      </w:r>
      <w:r w:rsidRPr="00D83BC4">
        <w:rPr>
          <w:rFonts w:ascii="Times New Roman" w:eastAsia="Times New Roman" w:hAnsi="Times New Roman" w:cs="Times New Roman"/>
        </w:rPr>
        <w:t xml:space="preserve"> con los sectores que constituirán el Fondo y tendrán participación en la toma de decisiones, las </w:t>
      </w:r>
      <w:r w:rsidR="00A55D88" w:rsidRPr="00D83BC4">
        <w:rPr>
          <w:rFonts w:ascii="Times New Roman" w:eastAsia="Times New Roman" w:hAnsi="Times New Roman" w:cs="Times New Roman"/>
        </w:rPr>
        <w:t>reuniones generan</w:t>
      </w:r>
      <w:r w:rsidRPr="00D83BC4">
        <w:rPr>
          <w:rFonts w:ascii="Times New Roman" w:eastAsia="Times New Roman" w:hAnsi="Times New Roman" w:cs="Times New Roman"/>
        </w:rPr>
        <w:t xml:space="preserve"> acuerdos que finalizan con la firma de un Convenio de Colaboración para la creación del Fondo Sectorial entre cada organismo y </w:t>
      </w:r>
      <w:r w:rsidR="008922A3">
        <w:rPr>
          <w:rFonts w:ascii="Times New Roman" w:eastAsia="Times New Roman" w:hAnsi="Times New Roman" w:cs="Times New Roman"/>
        </w:rPr>
        <w:t>CONACYT</w:t>
      </w:r>
      <w:r w:rsidRPr="00D83BC4">
        <w:rPr>
          <w:rFonts w:ascii="Times New Roman" w:eastAsia="Times New Roman" w:hAnsi="Times New Roman" w:cs="Times New Roman"/>
        </w:rPr>
        <w:t xml:space="preserve">. </w:t>
      </w:r>
    </w:p>
    <w:p w14:paraId="50F6ADAD" w14:textId="77777777" w:rsidR="008C4E0F" w:rsidRDefault="008C4E0F" w:rsidP="00D83BC4">
      <w:pPr>
        <w:spacing w:line="360" w:lineRule="auto"/>
        <w:ind w:left="360"/>
        <w:contextualSpacing/>
        <w:jc w:val="both"/>
        <w:rPr>
          <w:rFonts w:ascii="Times New Roman" w:eastAsia="Times New Roman" w:hAnsi="Times New Roman" w:cs="Times New Roman"/>
        </w:rPr>
      </w:pPr>
    </w:p>
    <w:p w14:paraId="611DA148" w14:textId="7BE57B21" w:rsidR="00D83BC4" w:rsidRPr="00D83BC4" w:rsidRDefault="00D83BC4" w:rsidP="00D83BC4">
      <w:pPr>
        <w:spacing w:line="360" w:lineRule="auto"/>
        <w:ind w:left="360"/>
        <w:contextualSpacing/>
        <w:jc w:val="both"/>
        <w:rPr>
          <w:rFonts w:ascii="Times New Roman" w:eastAsia="Times New Roman" w:hAnsi="Times New Roman" w:cs="Times New Roman"/>
        </w:rPr>
      </w:pPr>
      <w:r w:rsidRPr="00D83BC4">
        <w:rPr>
          <w:rFonts w:ascii="Times New Roman" w:eastAsia="Times New Roman" w:hAnsi="Times New Roman" w:cs="Times New Roman"/>
        </w:rPr>
        <w:t xml:space="preserve">Por medio del Convenio se establecen los fines específicos del Fondo, de acuerdo con la naturaleza del sector y de los objetivos de </w:t>
      </w:r>
      <w:r w:rsidR="008922A3">
        <w:rPr>
          <w:rFonts w:ascii="Times New Roman" w:eastAsia="Times New Roman" w:hAnsi="Times New Roman" w:cs="Times New Roman"/>
        </w:rPr>
        <w:t>CONACYT</w:t>
      </w:r>
      <w:r w:rsidRPr="00D83BC4">
        <w:rPr>
          <w:rFonts w:ascii="Times New Roman" w:eastAsia="Times New Roman" w:hAnsi="Times New Roman" w:cs="Times New Roman"/>
        </w:rPr>
        <w:t xml:space="preserve"> se adquiere el compromiso de aportar recursos para llevar a cabo acciones que permitan cumplir con los fines de los Fondos y el compromiso de realizar los esfuerzos requeridos para cumplirlos.  </w:t>
      </w:r>
    </w:p>
    <w:p w14:paraId="48C13201" w14:textId="77777777" w:rsidR="00D83BC4" w:rsidRPr="00D83BC4" w:rsidRDefault="00D83BC4" w:rsidP="00D83BC4">
      <w:pPr>
        <w:spacing w:line="360" w:lineRule="auto"/>
        <w:ind w:left="360"/>
        <w:contextualSpacing/>
        <w:jc w:val="both"/>
        <w:rPr>
          <w:rFonts w:ascii="Times New Roman" w:eastAsia="Times New Roman" w:hAnsi="Times New Roman" w:cs="Times New Roman"/>
        </w:rPr>
      </w:pPr>
    </w:p>
    <w:p w14:paraId="36A82AF4" w14:textId="77777777" w:rsidR="00D83BC4" w:rsidRPr="00D83BC4" w:rsidRDefault="00D83BC4" w:rsidP="00D83BC4">
      <w:pPr>
        <w:spacing w:line="360" w:lineRule="auto"/>
        <w:ind w:left="360"/>
        <w:contextualSpacing/>
        <w:jc w:val="both"/>
        <w:rPr>
          <w:rFonts w:ascii="Times New Roman" w:eastAsia="Times New Roman" w:hAnsi="Times New Roman" w:cs="Times New Roman"/>
        </w:rPr>
      </w:pPr>
      <w:r w:rsidRPr="00D83BC4">
        <w:rPr>
          <w:rFonts w:ascii="Times New Roman" w:eastAsia="Times New Roman" w:hAnsi="Times New Roman" w:cs="Times New Roman"/>
        </w:rPr>
        <w:t xml:space="preserve">También se establece la estructura de decisión de los Fondos, a través de la conformación de los Comités Técnicos y de Administración. </w:t>
      </w:r>
    </w:p>
    <w:p w14:paraId="6C849D44" w14:textId="77777777" w:rsidR="00D83BC4" w:rsidRPr="00D83BC4" w:rsidRDefault="00D83BC4" w:rsidP="00D83BC4">
      <w:pPr>
        <w:spacing w:line="360" w:lineRule="auto"/>
        <w:ind w:left="360"/>
        <w:contextualSpacing/>
        <w:jc w:val="both"/>
        <w:rPr>
          <w:rFonts w:ascii="Times New Roman" w:eastAsia="Times New Roman" w:hAnsi="Times New Roman" w:cs="Times New Roman"/>
        </w:rPr>
      </w:pPr>
    </w:p>
    <w:p w14:paraId="3692369C" w14:textId="103FE09F" w:rsidR="00D83BC4" w:rsidRPr="00D83BC4" w:rsidRDefault="00D83BC4" w:rsidP="00D83BC4">
      <w:pPr>
        <w:numPr>
          <w:ilvl w:val="0"/>
          <w:numId w:val="12"/>
        </w:numPr>
        <w:spacing w:line="360" w:lineRule="auto"/>
        <w:ind w:left="360"/>
        <w:contextualSpacing/>
        <w:jc w:val="both"/>
        <w:rPr>
          <w:rFonts w:ascii="Times New Roman" w:eastAsia="Times New Roman" w:hAnsi="Times New Roman" w:cs="Times New Roman"/>
        </w:rPr>
      </w:pPr>
      <w:r w:rsidRPr="00D83BC4">
        <w:rPr>
          <w:rFonts w:ascii="Times New Roman" w:eastAsia="Times New Roman" w:hAnsi="Times New Roman" w:cs="Times New Roman"/>
        </w:rPr>
        <w:t xml:space="preserve">Derivado del Convenio de Colaboración, se elabora un Contrato de Fideicomiso, entre una institución bancaria que figura como fiduciaria y el </w:t>
      </w:r>
      <w:r w:rsidR="008922A3">
        <w:rPr>
          <w:rFonts w:ascii="Times New Roman" w:eastAsia="Times New Roman" w:hAnsi="Times New Roman" w:cs="Times New Roman"/>
        </w:rPr>
        <w:t>CONACYT</w:t>
      </w:r>
      <w:r w:rsidRPr="00D83BC4">
        <w:rPr>
          <w:rFonts w:ascii="Times New Roman" w:eastAsia="Times New Roman" w:hAnsi="Times New Roman" w:cs="Times New Roman"/>
        </w:rPr>
        <w:t xml:space="preserve">, para la administración de los recursos de los Fondos y a través del cual se canalizarán dichos recursos, procurando la eficiencia, eficacia, transparencia y seguridad de la fiduciaria.  </w:t>
      </w:r>
    </w:p>
    <w:p w14:paraId="2245D0B8" w14:textId="77777777" w:rsidR="00D83BC4" w:rsidRPr="00D83BC4" w:rsidRDefault="00D83BC4" w:rsidP="00D83BC4">
      <w:pPr>
        <w:spacing w:line="360" w:lineRule="auto"/>
        <w:ind w:left="360"/>
        <w:contextualSpacing/>
        <w:jc w:val="both"/>
        <w:rPr>
          <w:rFonts w:ascii="Times New Roman" w:eastAsia="Times New Roman" w:hAnsi="Times New Roman" w:cs="Times New Roman"/>
        </w:rPr>
      </w:pPr>
    </w:p>
    <w:p w14:paraId="6B64F8B6" w14:textId="527631DB" w:rsidR="00D83BC4" w:rsidRPr="00D83BC4" w:rsidRDefault="00D83BC4" w:rsidP="00D83BC4">
      <w:pPr>
        <w:spacing w:line="360" w:lineRule="auto"/>
        <w:ind w:left="360"/>
        <w:contextualSpacing/>
        <w:jc w:val="both"/>
        <w:rPr>
          <w:rFonts w:ascii="Times New Roman" w:eastAsia="Times New Roman" w:hAnsi="Times New Roman" w:cs="Times New Roman"/>
        </w:rPr>
      </w:pPr>
      <w:r w:rsidRPr="00D83BC4">
        <w:rPr>
          <w:rFonts w:ascii="Times New Roman" w:eastAsia="Times New Roman" w:hAnsi="Times New Roman" w:cs="Times New Roman"/>
        </w:rPr>
        <w:t xml:space="preserve">Es importante señalar </w:t>
      </w:r>
      <w:r w:rsidR="00A55D88" w:rsidRPr="00D83BC4">
        <w:rPr>
          <w:rFonts w:ascii="Times New Roman" w:eastAsia="Times New Roman" w:hAnsi="Times New Roman" w:cs="Times New Roman"/>
        </w:rPr>
        <w:t>que,</w:t>
      </w:r>
      <w:r w:rsidRPr="00D83BC4">
        <w:rPr>
          <w:rFonts w:ascii="Times New Roman" w:eastAsia="Times New Roman" w:hAnsi="Times New Roman" w:cs="Times New Roman"/>
        </w:rPr>
        <w:t xml:space="preserve"> si bien la aportación de recursos al fideicomiso es de 1 a 1 entre los sectores y </w:t>
      </w:r>
      <w:r w:rsidR="008922A3">
        <w:rPr>
          <w:rFonts w:ascii="Times New Roman" w:eastAsia="Times New Roman" w:hAnsi="Times New Roman" w:cs="Times New Roman"/>
        </w:rPr>
        <w:t>CONACYT</w:t>
      </w:r>
      <w:r w:rsidRPr="00D83BC4">
        <w:rPr>
          <w:rFonts w:ascii="Times New Roman" w:eastAsia="Times New Roman" w:hAnsi="Times New Roman" w:cs="Times New Roman"/>
        </w:rPr>
        <w:t xml:space="preserve">, en algunos casos no se cumple de manera estricta esta proporción, puede ser que el sector o el propio </w:t>
      </w:r>
      <w:r w:rsidR="008922A3">
        <w:rPr>
          <w:rFonts w:ascii="Times New Roman" w:eastAsia="Times New Roman" w:hAnsi="Times New Roman" w:cs="Times New Roman"/>
        </w:rPr>
        <w:t>CONACYT</w:t>
      </w:r>
      <w:r w:rsidRPr="00D83BC4">
        <w:rPr>
          <w:rFonts w:ascii="Times New Roman" w:eastAsia="Times New Roman" w:hAnsi="Times New Roman" w:cs="Times New Roman"/>
        </w:rPr>
        <w:t xml:space="preserve"> decidan aportar una cantidad mayor de recursos en temas estratégicos, o que por motivos de recortes presupuestales alguna de las partes no logre aportar los recursos que habían comprometido.</w:t>
      </w:r>
    </w:p>
    <w:p w14:paraId="1BA63E1A" w14:textId="77777777" w:rsidR="00D83BC4" w:rsidRPr="00D83BC4" w:rsidRDefault="00D83BC4" w:rsidP="00D83BC4">
      <w:pPr>
        <w:spacing w:line="360" w:lineRule="auto"/>
        <w:ind w:left="360"/>
        <w:contextualSpacing/>
        <w:jc w:val="both"/>
        <w:rPr>
          <w:rFonts w:ascii="Times New Roman" w:eastAsia="Times New Roman" w:hAnsi="Times New Roman" w:cs="Times New Roman"/>
        </w:rPr>
      </w:pPr>
    </w:p>
    <w:p w14:paraId="53A93925" w14:textId="77777777" w:rsidR="00D83BC4" w:rsidRPr="00D83BC4" w:rsidRDefault="00D83BC4" w:rsidP="00D83BC4">
      <w:pPr>
        <w:numPr>
          <w:ilvl w:val="0"/>
          <w:numId w:val="12"/>
        </w:numPr>
        <w:spacing w:line="360" w:lineRule="auto"/>
        <w:ind w:left="360"/>
        <w:contextualSpacing/>
        <w:jc w:val="both"/>
        <w:rPr>
          <w:rFonts w:ascii="Times New Roman" w:eastAsia="Times New Roman" w:hAnsi="Times New Roman" w:cs="Times New Roman"/>
        </w:rPr>
      </w:pPr>
      <w:r w:rsidRPr="00D83BC4">
        <w:rPr>
          <w:rFonts w:ascii="Times New Roman" w:eastAsia="Times New Roman" w:hAnsi="Times New Roman" w:cs="Times New Roman"/>
        </w:rPr>
        <w:t>Las Reglas de Operación es el documento que se integra al Contrato del Fideicomiso y en él se prescriben las facultades, obligaciones y derechos de los sujetos implicados, así como las bases para llevar a cabo los diferentes procesos.</w:t>
      </w:r>
    </w:p>
    <w:p w14:paraId="1E022825" w14:textId="77777777" w:rsidR="00D83BC4" w:rsidRPr="00D83BC4" w:rsidRDefault="00D83BC4" w:rsidP="00D83BC4">
      <w:pPr>
        <w:spacing w:line="360" w:lineRule="auto"/>
        <w:jc w:val="both"/>
        <w:rPr>
          <w:rFonts w:ascii="Times New Roman" w:eastAsia="Times New Roman" w:hAnsi="Times New Roman" w:cs="Times New Roman"/>
        </w:rPr>
      </w:pPr>
    </w:p>
    <w:p w14:paraId="53CAD5E7" w14:textId="63F647E0" w:rsidR="00D83BC4" w:rsidRPr="00D83BC4" w:rsidRDefault="00D83BC4" w:rsidP="00D83BC4">
      <w:pPr>
        <w:spacing w:line="360" w:lineRule="auto"/>
        <w:ind w:left="360"/>
        <w:jc w:val="both"/>
        <w:rPr>
          <w:rFonts w:ascii="Times New Roman" w:eastAsia="Times New Roman" w:hAnsi="Times New Roman" w:cs="Times New Roman"/>
        </w:rPr>
      </w:pPr>
      <w:r w:rsidRPr="00D83BC4">
        <w:rPr>
          <w:rFonts w:ascii="Times New Roman" w:eastAsia="Times New Roman" w:hAnsi="Times New Roman" w:cs="Times New Roman"/>
        </w:rPr>
        <w:t xml:space="preserve">Existen las Reglas Generales del Programa Presupuestario S192 </w:t>
      </w:r>
      <w:r w:rsidRPr="00A55D88">
        <w:rPr>
          <w:rFonts w:ascii="Times New Roman" w:eastAsia="Times New Roman" w:hAnsi="Times New Roman" w:cs="Times New Roman"/>
          <w:color w:val="4472C4" w:themeColor="accent1"/>
        </w:rPr>
        <w:t>(</w:t>
      </w:r>
      <w:hyperlink r:id="rId30" w:history="1">
        <w:r w:rsidR="0053360A" w:rsidRPr="003D3505">
          <w:rPr>
            <w:rStyle w:val="Hipervnculo"/>
          </w:rPr>
          <w:t>https://www.conacyt.gob.mx/images/conacyt/normatividad/interna/Reglas_de_Operacion_Fomento_Sectorial.pdf</w:t>
        </w:r>
      </w:hyperlink>
      <w:r w:rsidR="00A55D88">
        <w:rPr>
          <w:rFonts w:ascii="Times New Roman" w:eastAsia="Times New Roman" w:hAnsi="Times New Roman" w:cs="Times New Roman"/>
          <w:color w:val="4472C4" w:themeColor="accent1"/>
        </w:rPr>
        <w:t>).</w:t>
      </w:r>
      <w:r w:rsidRPr="00A55D88">
        <w:rPr>
          <w:rFonts w:ascii="Times New Roman" w:eastAsia="Times New Roman" w:hAnsi="Times New Roman" w:cs="Times New Roman"/>
          <w:color w:val="4472C4" w:themeColor="accent1"/>
        </w:rPr>
        <w:t xml:space="preserve"> </w:t>
      </w:r>
      <w:r w:rsidR="00A55D88">
        <w:rPr>
          <w:rFonts w:ascii="Times New Roman" w:eastAsia="Times New Roman" w:hAnsi="Times New Roman" w:cs="Times New Roman"/>
        </w:rPr>
        <w:t>A</w:t>
      </w:r>
      <w:r w:rsidRPr="00D83BC4">
        <w:rPr>
          <w:rFonts w:ascii="Times New Roman" w:eastAsia="Times New Roman" w:hAnsi="Times New Roman" w:cs="Times New Roman"/>
        </w:rPr>
        <w:t>simismo</w:t>
      </w:r>
      <w:r w:rsidR="00A55D88">
        <w:rPr>
          <w:rFonts w:ascii="Times New Roman" w:eastAsia="Times New Roman" w:hAnsi="Times New Roman" w:cs="Times New Roman"/>
        </w:rPr>
        <w:t>,</w:t>
      </w:r>
      <w:r w:rsidRPr="00D83BC4">
        <w:rPr>
          <w:rFonts w:ascii="Times New Roman" w:eastAsia="Times New Roman" w:hAnsi="Times New Roman" w:cs="Times New Roman"/>
        </w:rPr>
        <w:t xml:space="preserve"> cada Fondo Sectorial cuenta con Reglas Específicas de Operación las cuales están publicadas en la página del SIICYT.</w:t>
      </w:r>
    </w:p>
    <w:p w14:paraId="277CDD2E" w14:textId="77777777" w:rsidR="00D83BC4" w:rsidRPr="00D83BC4" w:rsidRDefault="00D83BC4" w:rsidP="00D83BC4">
      <w:pPr>
        <w:spacing w:line="360" w:lineRule="auto"/>
        <w:ind w:left="360"/>
        <w:jc w:val="both"/>
        <w:rPr>
          <w:rFonts w:ascii="Times New Roman" w:eastAsia="Times New Roman" w:hAnsi="Times New Roman" w:cs="Times New Roman"/>
        </w:rPr>
      </w:pPr>
    </w:p>
    <w:p w14:paraId="7C3DF484" w14:textId="73B0CFBE" w:rsidR="00D83BC4" w:rsidRPr="00D83BC4" w:rsidRDefault="00D83BC4" w:rsidP="00D83BC4">
      <w:pPr>
        <w:spacing w:line="360" w:lineRule="auto"/>
        <w:ind w:left="360"/>
        <w:contextualSpacing/>
        <w:jc w:val="both"/>
        <w:rPr>
          <w:rFonts w:ascii="Times New Roman" w:eastAsia="Times New Roman" w:hAnsi="Times New Roman" w:cs="Times New Roman"/>
        </w:rPr>
      </w:pPr>
      <w:r w:rsidRPr="00785E62">
        <w:rPr>
          <w:rFonts w:ascii="Times New Roman" w:eastAsia="Times New Roman" w:hAnsi="Times New Roman" w:cs="Times New Roman"/>
        </w:rPr>
        <w:t xml:space="preserve">De conformidad con el artículo 25 de la </w:t>
      </w:r>
      <w:proofErr w:type="spellStart"/>
      <w:r w:rsidRPr="00785E62">
        <w:rPr>
          <w:rFonts w:ascii="Times New Roman" w:eastAsia="Times New Roman" w:hAnsi="Times New Roman" w:cs="Times New Roman"/>
        </w:rPr>
        <w:t>LCyT</w:t>
      </w:r>
      <w:proofErr w:type="spellEnd"/>
      <w:r w:rsidRPr="00785E62">
        <w:rPr>
          <w:rFonts w:ascii="Times New Roman" w:eastAsia="Times New Roman" w:hAnsi="Times New Roman" w:cs="Times New Roman"/>
        </w:rPr>
        <w:t xml:space="preserve"> y demás normativa específica de cada Fondo Sectorial se establecen en los Fondos Sectoriales las figuras de Secretaría Técnica, cuya designación recae sobre el </w:t>
      </w:r>
      <w:r w:rsidR="008922A3">
        <w:rPr>
          <w:rFonts w:ascii="Times New Roman" w:eastAsia="Times New Roman" w:hAnsi="Times New Roman" w:cs="Times New Roman"/>
        </w:rPr>
        <w:t>CONACYT</w:t>
      </w:r>
      <w:r w:rsidRPr="00785E62">
        <w:rPr>
          <w:rFonts w:ascii="Times New Roman" w:eastAsia="Times New Roman" w:hAnsi="Times New Roman" w:cs="Times New Roman"/>
        </w:rPr>
        <w:t xml:space="preserve"> y la de Secretaría Administrativa, a cargo del </w:t>
      </w:r>
      <w:r w:rsidR="004F149D" w:rsidRPr="00785E62">
        <w:rPr>
          <w:rFonts w:ascii="Times New Roman" w:eastAsia="Times New Roman" w:hAnsi="Times New Roman" w:cs="Times New Roman"/>
        </w:rPr>
        <w:t>sector, con</w:t>
      </w:r>
      <w:r w:rsidRPr="00785E62">
        <w:rPr>
          <w:rFonts w:ascii="Times New Roman" w:eastAsia="Times New Roman" w:hAnsi="Times New Roman" w:cs="Times New Roman"/>
        </w:rPr>
        <w:t xml:space="preserve"> el objetivo de </w:t>
      </w:r>
      <w:r w:rsidR="004F149D" w:rsidRPr="00785E62">
        <w:rPr>
          <w:rFonts w:ascii="Times New Roman" w:eastAsia="Times New Roman" w:hAnsi="Times New Roman" w:cs="Times New Roman"/>
        </w:rPr>
        <w:t>apoyar la</w:t>
      </w:r>
      <w:r w:rsidRPr="00785E62">
        <w:rPr>
          <w:rFonts w:ascii="Times New Roman" w:eastAsia="Times New Roman" w:hAnsi="Times New Roman" w:cs="Times New Roman"/>
        </w:rPr>
        <w:t xml:space="preserve"> operación de </w:t>
      </w:r>
      <w:r w:rsidR="004F149D" w:rsidRPr="00785E62">
        <w:rPr>
          <w:rFonts w:ascii="Times New Roman" w:eastAsia="Times New Roman" w:hAnsi="Times New Roman" w:cs="Times New Roman"/>
        </w:rPr>
        <w:t>los Fondos</w:t>
      </w:r>
      <w:r w:rsidRPr="00785E62">
        <w:rPr>
          <w:rFonts w:ascii="Times New Roman" w:eastAsia="Times New Roman" w:hAnsi="Times New Roman" w:cs="Times New Roman"/>
        </w:rPr>
        <w:t xml:space="preserve"> y las funciones del </w:t>
      </w:r>
      <w:proofErr w:type="spellStart"/>
      <w:r w:rsidRPr="00785E62">
        <w:rPr>
          <w:rFonts w:ascii="Times New Roman" w:eastAsia="Times New Roman" w:hAnsi="Times New Roman" w:cs="Times New Roman"/>
        </w:rPr>
        <w:t>CTyA</w:t>
      </w:r>
      <w:proofErr w:type="spellEnd"/>
      <w:r w:rsidRPr="00785E62">
        <w:rPr>
          <w:rFonts w:ascii="Times New Roman" w:eastAsia="Times New Roman" w:hAnsi="Times New Roman" w:cs="Times New Roman"/>
        </w:rPr>
        <w:t>.</w:t>
      </w:r>
      <w:r w:rsidRPr="00D83BC4">
        <w:rPr>
          <w:rFonts w:ascii="Times New Roman" w:eastAsia="Times New Roman" w:hAnsi="Times New Roman" w:cs="Times New Roman"/>
        </w:rPr>
        <w:t xml:space="preserve"> </w:t>
      </w:r>
    </w:p>
    <w:p w14:paraId="6FDA5EBE" w14:textId="77777777" w:rsidR="00D83BC4" w:rsidRPr="00D83BC4" w:rsidRDefault="00D83BC4" w:rsidP="00D83BC4">
      <w:pPr>
        <w:spacing w:line="360" w:lineRule="auto"/>
        <w:ind w:left="360"/>
        <w:contextualSpacing/>
        <w:jc w:val="both"/>
        <w:rPr>
          <w:rFonts w:ascii="Times New Roman" w:eastAsia="Times New Roman" w:hAnsi="Times New Roman" w:cs="Times New Roman"/>
        </w:rPr>
      </w:pPr>
    </w:p>
    <w:p w14:paraId="2771835B" w14:textId="77777777" w:rsidR="00D83BC4" w:rsidRPr="00D83BC4" w:rsidRDefault="00D83BC4" w:rsidP="00D83BC4">
      <w:pPr>
        <w:spacing w:line="360" w:lineRule="auto"/>
        <w:ind w:left="360"/>
        <w:contextualSpacing/>
        <w:jc w:val="both"/>
        <w:rPr>
          <w:rFonts w:ascii="Times New Roman" w:eastAsia="Times New Roman" w:hAnsi="Times New Roman" w:cs="Times New Roman"/>
        </w:rPr>
      </w:pPr>
      <w:r w:rsidRPr="00D83BC4">
        <w:rPr>
          <w:rFonts w:ascii="Times New Roman" w:eastAsia="Times New Roman" w:hAnsi="Times New Roman" w:cs="Times New Roman"/>
        </w:rPr>
        <w:t xml:space="preserve">La Secretaría Técnica está a cargo de la evaluación de las solicitudes presentadas, así como del seguimiento técnico de los proyectos apoyados, y la Secretaría Administrativa se encarga de las </w:t>
      </w:r>
      <w:r w:rsidRPr="00D83BC4">
        <w:rPr>
          <w:rFonts w:ascii="Times New Roman" w:eastAsia="Times New Roman" w:hAnsi="Times New Roman" w:cs="Times New Roman"/>
        </w:rPr>
        <w:lastRenderedPageBreak/>
        <w:t>ministraciones de los proyectos apoyados, y de las cuestiones financieras del Fondo en cuestión, incluyendo el gasto operativo del mismo.</w:t>
      </w:r>
    </w:p>
    <w:p w14:paraId="48C8F5ED" w14:textId="77777777" w:rsidR="00D83BC4" w:rsidRPr="00D83BC4" w:rsidRDefault="00D83BC4" w:rsidP="00D83BC4">
      <w:pPr>
        <w:spacing w:line="360" w:lineRule="auto"/>
        <w:jc w:val="both"/>
        <w:rPr>
          <w:rFonts w:ascii="Times New Roman" w:eastAsia="Times New Roman" w:hAnsi="Times New Roman" w:cs="Times New Roman"/>
        </w:rPr>
      </w:pPr>
    </w:p>
    <w:p w14:paraId="608F63F5"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En el esquema siguiente se muestra, de manera breve, la etapa previa a la intervención.</w:t>
      </w:r>
    </w:p>
    <w:p w14:paraId="77FA8631" w14:textId="77777777" w:rsidR="00D83BC4" w:rsidRPr="00D83BC4" w:rsidRDefault="00D83BC4" w:rsidP="00D83BC4">
      <w:pPr>
        <w:spacing w:line="360" w:lineRule="auto"/>
        <w:jc w:val="both"/>
        <w:rPr>
          <w:rFonts w:ascii="Times New Roman" w:eastAsia="Times New Roman" w:hAnsi="Times New Roman" w:cs="Times New Roman"/>
          <w:b/>
        </w:rPr>
      </w:pPr>
    </w:p>
    <w:p w14:paraId="60FAFDFC" w14:textId="53111124" w:rsidR="00D83BC4" w:rsidRPr="00B25602" w:rsidRDefault="00D83BC4" w:rsidP="008C4E0F">
      <w:pPr>
        <w:spacing w:line="360" w:lineRule="auto"/>
        <w:jc w:val="center"/>
        <w:rPr>
          <w:rFonts w:ascii="Times New Roman" w:eastAsia="Times New Roman" w:hAnsi="Times New Roman" w:cs="Times New Roman"/>
          <w:b/>
          <w:color w:val="323E4F" w:themeColor="text2" w:themeShade="BF"/>
        </w:rPr>
      </w:pPr>
      <w:r w:rsidRPr="00B25602">
        <w:rPr>
          <w:rFonts w:ascii="Times New Roman" w:eastAsia="Times New Roman" w:hAnsi="Times New Roman" w:cs="Times New Roman"/>
          <w:b/>
          <w:color w:val="323E4F" w:themeColor="text2" w:themeShade="BF"/>
        </w:rPr>
        <w:t xml:space="preserve">Figura </w:t>
      </w:r>
      <w:r w:rsidR="008C4E0F" w:rsidRPr="00B25602">
        <w:rPr>
          <w:rFonts w:ascii="Times New Roman" w:eastAsia="Times New Roman" w:hAnsi="Times New Roman" w:cs="Times New Roman"/>
          <w:b/>
          <w:color w:val="323E4F" w:themeColor="text2" w:themeShade="BF"/>
        </w:rPr>
        <w:t>4</w:t>
      </w:r>
      <w:r w:rsidRPr="00B25602">
        <w:rPr>
          <w:rFonts w:ascii="Times New Roman" w:eastAsia="Times New Roman" w:hAnsi="Times New Roman" w:cs="Times New Roman"/>
          <w:b/>
          <w:color w:val="323E4F" w:themeColor="text2" w:themeShade="BF"/>
        </w:rPr>
        <w:t>. Diagrama de la etapa previa a la intervención</w:t>
      </w:r>
    </w:p>
    <w:p w14:paraId="17EE93E0" w14:textId="617FCB37" w:rsidR="00D83BC4" w:rsidRPr="00D83BC4" w:rsidRDefault="008C4E0F" w:rsidP="00D83BC4">
      <w:pPr>
        <w:spacing w:line="360" w:lineRule="auto"/>
        <w:ind w:firstLine="709"/>
        <w:jc w:val="both"/>
        <w:rPr>
          <w:rFonts w:ascii="Times New Roman" w:eastAsia="Times New Roman" w:hAnsi="Times New Roman" w:cs="Times New Roman"/>
          <w:b/>
        </w:rPr>
      </w:pPr>
      <w:r w:rsidRPr="00D83BC4">
        <w:rPr>
          <w:rFonts w:ascii="Times New Roman" w:eastAsiaTheme="minorHAnsi" w:hAnsi="Times New Roman" w:cs="Times New Roman"/>
          <w:noProof/>
          <w:lang w:val="es-ES"/>
        </w:rPr>
        <w:drawing>
          <wp:anchor distT="0" distB="0" distL="114300" distR="114300" simplePos="0" relativeHeight="251661312" behindDoc="1" locked="0" layoutInCell="1" allowOverlap="1" wp14:anchorId="19835990" wp14:editId="7D26163A">
            <wp:simplePos x="0" y="0"/>
            <wp:positionH relativeFrom="margin">
              <wp:posOffset>285750</wp:posOffset>
            </wp:positionH>
            <wp:positionV relativeFrom="paragraph">
              <wp:posOffset>8890</wp:posOffset>
            </wp:positionV>
            <wp:extent cx="5821680" cy="2242168"/>
            <wp:effectExtent l="0" t="0" r="762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18538" t="21809" r="2740" b="23415"/>
                    <a:stretch>
                      <a:fillRect/>
                    </a:stretch>
                  </pic:blipFill>
                  <pic:spPr bwMode="auto">
                    <a:xfrm>
                      <a:off x="0" y="0"/>
                      <a:ext cx="5905244" cy="2274352"/>
                    </a:xfrm>
                    <a:prstGeom prst="rect">
                      <a:avLst/>
                    </a:prstGeom>
                    <a:noFill/>
                  </pic:spPr>
                </pic:pic>
              </a:graphicData>
            </a:graphic>
            <wp14:sizeRelH relativeFrom="page">
              <wp14:pctWidth>0</wp14:pctWidth>
            </wp14:sizeRelH>
            <wp14:sizeRelV relativeFrom="page">
              <wp14:pctHeight>0</wp14:pctHeight>
            </wp14:sizeRelV>
          </wp:anchor>
        </w:drawing>
      </w:r>
    </w:p>
    <w:p w14:paraId="36ABBE5C" w14:textId="77777777" w:rsidR="00D83BC4" w:rsidRPr="00D83BC4" w:rsidRDefault="00D83BC4" w:rsidP="00D83BC4">
      <w:pPr>
        <w:spacing w:line="360" w:lineRule="auto"/>
        <w:ind w:firstLine="709"/>
        <w:jc w:val="both"/>
        <w:rPr>
          <w:rFonts w:ascii="Times New Roman" w:eastAsia="Times New Roman" w:hAnsi="Times New Roman" w:cs="Times New Roman"/>
          <w:b/>
        </w:rPr>
      </w:pPr>
    </w:p>
    <w:p w14:paraId="75B29BEC" w14:textId="77777777" w:rsidR="00D83BC4" w:rsidRPr="00D83BC4" w:rsidRDefault="00D83BC4" w:rsidP="00D83BC4">
      <w:pPr>
        <w:spacing w:line="360" w:lineRule="auto"/>
        <w:ind w:firstLine="709"/>
        <w:jc w:val="both"/>
        <w:rPr>
          <w:rFonts w:ascii="Times New Roman" w:eastAsia="Times New Roman" w:hAnsi="Times New Roman" w:cs="Times New Roman"/>
          <w:b/>
        </w:rPr>
      </w:pPr>
    </w:p>
    <w:p w14:paraId="60149808" w14:textId="77777777" w:rsidR="00D83BC4" w:rsidRPr="00D83BC4" w:rsidRDefault="00D83BC4" w:rsidP="00D83BC4">
      <w:pPr>
        <w:spacing w:line="360" w:lineRule="auto"/>
        <w:ind w:firstLine="709"/>
        <w:jc w:val="both"/>
        <w:rPr>
          <w:rFonts w:ascii="Times New Roman" w:eastAsia="Times New Roman" w:hAnsi="Times New Roman" w:cs="Times New Roman"/>
          <w:b/>
        </w:rPr>
      </w:pPr>
    </w:p>
    <w:p w14:paraId="111948F2" w14:textId="392FB053" w:rsidR="00D83BC4" w:rsidRDefault="00D83BC4" w:rsidP="00D83BC4">
      <w:pPr>
        <w:spacing w:line="360" w:lineRule="auto"/>
        <w:jc w:val="both"/>
        <w:rPr>
          <w:rFonts w:ascii="Times New Roman" w:eastAsia="Times New Roman" w:hAnsi="Times New Roman" w:cs="Times New Roman"/>
          <w:b/>
        </w:rPr>
      </w:pPr>
    </w:p>
    <w:p w14:paraId="758C205D" w14:textId="370520DF" w:rsidR="008C4E0F" w:rsidRDefault="008C4E0F" w:rsidP="00D83BC4">
      <w:pPr>
        <w:spacing w:line="360" w:lineRule="auto"/>
        <w:jc w:val="both"/>
        <w:rPr>
          <w:rFonts w:ascii="Times New Roman" w:eastAsia="Times New Roman" w:hAnsi="Times New Roman" w:cs="Times New Roman"/>
          <w:b/>
        </w:rPr>
      </w:pPr>
    </w:p>
    <w:p w14:paraId="5ACACB39" w14:textId="0EA8DE84" w:rsidR="008C4E0F" w:rsidRDefault="008C4E0F" w:rsidP="00D83BC4">
      <w:pPr>
        <w:spacing w:line="360" w:lineRule="auto"/>
        <w:jc w:val="both"/>
        <w:rPr>
          <w:rFonts w:ascii="Times New Roman" w:eastAsia="Times New Roman" w:hAnsi="Times New Roman" w:cs="Times New Roman"/>
          <w:b/>
        </w:rPr>
      </w:pPr>
    </w:p>
    <w:p w14:paraId="7F6D2279" w14:textId="79433596" w:rsidR="008C4E0F" w:rsidRDefault="008C4E0F" w:rsidP="00D83BC4">
      <w:pPr>
        <w:spacing w:line="360" w:lineRule="auto"/>
        <w:jc w:val="both"/>
        <w:rPr>
          <w:rFonts w:ascii="Times New Roman" w:eastAsia="Times New Roman" w:hAnsi="Times New Roman" w:cs="Times New Roman"/>
          <w:b/>
        </w:rPr>
      </w:pPr>
    </w:p>
    <w:p w14:paraId="6F807BF9" w14:textId="061926D0" w:rsidR="008C4E0F" w:rsidRPr="008C4E0F" w:rsidRDefault="008C4E0F" w:rsidP="008C4E0F">
      <w:pPr>
        <w:spacing w:line="360" w:lineRule="auto"/>
        <w:ind w:firstLine="708"/>
        <w:jc w:val="both"/>
        <w:rPr>
          <w:rFonts w:ascii="Times New Roman" w:eastAsia="Times New Roman" w:hAnsi="Times New Roman" w:cs="Times New Roman"/>
          <w:b/>
          <w:sz w:val="16"/>
          <w:szCs w:val="16"/>
        </w:rPr>
      </w:pPr>
      <w:r w:rsidRPr="008C4E0F">
        <w:rPr>
          <w:rFonts w:ascii="Times New Roman" w:eastAsia="Times New Roman" w:hAnsi="Times New Roman" w:cs="Times New Roman"/>
          <w:b/>
          <w:sz w:val="16"/>
          <w:szCs w:val="16"/>
        </w:rPr>
        <w:t xml:space="preserve">Fuente: </w:t>
      </w:r>
      <w:r w:rsidRPr="008C4E0F">
        <w:rPr>
          <w:rFonts w:ascii="Times New Roman" w:eastAsia="Times New Roman" w:hAnsi="Times New Roman" w:cs="Times New Roman"/>
          <w:bCs/>
          <w:sz w:val="16"/>
          <w:szCs w:val="16"/>
        </w:rPr>
        <w:t>Elaboración propia</w:t>
      </w:r>
    </w:p>
    <w:p w14:paraId="059D13F5" w14:textId="77777777" w:rsidR="00400E86" w:rsidRDefault="00400E86" w:rsidP="002C2BC1">
      <w:pPr>
        <w:rPr>
          <w:rFonts w:ascii="Times New Roman" w:eastAsia="Times New Roman" w:hAnsi="Times New Roman" w:cs="Times New Roman"/>
          <w:b/>
          <w:bCs/>
        </w:rPr>
      </w:pPr>
      <w:bookmarkStart w:id="48" w:name="_Toc453749495"/>
    </w:p>
    <w:p w14:paraId="36EAF78C" w14:textId="45E1E1B7" w:rsidR="00D83BC4" w:rsidRPr="00D83BC4" w:rsidRDefault="00D83BC4" w:rsidP="00400E86">
      <w:pPr>
        <w:spacing w:before="100" w:beforeAutospacing="1"/>
        <w:rPr>
          <w:rFonts w:ascii="Times New Roman" w:eastAsia="Times New Roman" w:hAnsi="Times New Roman" w:cs="Times New Roman"/>
          <w:b/>
          <w:bCs/>
        </w:rPr>
      </w:pPr>
      <w:r w:rsidRPr="008A47EB">
        <w:rPr>
          <w:rFonts w:ascii="Times New Roman" w:eastAsia="Times New Roman" w:hAnsi="Times New Roman" w:cs="Times New Roman"/>
          <w:b/>
          <w:bCs/>
          <w:color w:val="2F5496" w:themeColor="accent1" w:themeShade="BF"/>
        </w:rPr>
        <w:t>V.2.2. Intervención a través del Programa S192</w:t>
      </w:r>
      <w:bookmarkEnd w:id="48"/>
    </w:p>
    <w:p w14:paraId="5CA96D39" w14:textId="2D053D70" w:rsidR="00D83BC4" w:rsidRPr="00D83BC4" w:rsidRDefault="00D83BC4" w:rsidP="00400E86">
      <w:pPr>
        <w:spacing w:before="100" w:beforeAutospacing="1"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Una vez que los acuerdos se han formalizado y se cuenta con los instrumentos </w:t>
      </w:r>
      <w:r w:rsidR="00493439" w:rsidRPr="00D83BC4">
        <w:rPr>
          <w:rFonts w:ascii="Times New Roman" w:eastAsia="Times New Roman" w:hAnsi="Times New Roman" w:cs="Times New Roman"/>
        </w:rPr>
        <w:t>normativos y</w:t>
      </w:r>
      <w:r w:rsidRPr="00D83BC4">
        <w:rPr>
          <w:rFonts w:ascii="Times New Roman" w:eastAsia="Times New Roman" w:hAnsi="Times New Roman" w:cs="Times New Roman"/>
        </w:rPr>
        <w:t xml:space="preserve"> </w:t>
      </w:r>
      <w:r w:rsidR="00493439" w:rsidRPr="00D83BC4">
        <w:rPr>
          <w:rFonts w:ascii="Times New Roman" w:eastAsia="Times New Roman" w:hAnsi="Times New Roman" w:cs="Times New Roman"/>
        </w:rPr>
        <w:t>financieros comienza</w:t>
      </w:r>
      <w:r w:rsidRPr="00D83BC4">
        <w:rPr>
          <w:rFonts w:ascii="Times New Roman" w:eastAsia="Times New Roman" w:hAnsi="Times New Roman" w:cs="Times New Roman"/>
        </w:rPr>
        <w:t xml:space="preserve"> la intervención, mediante la operación de los Fondos Sectoriales establecidos.</w:t>
      </w:r>
    </w:p>
    <w:p w14:paraId="6AD008A2" w14:textId="09A5681E" w:rsidR="00D83BC4" w:rsidRPr="008A47EB" w:rsidRDefault="00D83BC4" w:rsidP="00400E86">
      <w:pPr>
        <w:spacing w:before="100" w:beforeAutospacing="1"/>
        <w:rPr>
          <w:rFonts w:ascii="Times New Roman" w:eastAsia="Times New Roman" w:hAnsi="Times New Roman" w:cs="Times New Roman"/>
          <w:b/>
          <w:bCs/>
          <w:color w:val="2F5496" w:themeColor="accent1" w:themeShade="BF"/>
        </w:rPr>
      </w:pPr>
      <w:bookmarkStart w:id="49" w:name="_Toc453749496"/>
      <w:r w:rsidRPr="008A47EB">
        <w:rPr>
          <w:rFonts w:ascii="Times New Roman" w:eastAsia="Times New Roman" w:hAnsi="Times New Roman" w:cs="Times New Roman"/>
          <w:b/>
          <w:bCs/>
          <w:color w:val="2F5496" w:themeColor="accent1" w:themeShade="BF"/>
        </w:rPr>
        <w:t>V.2.2.1</w:t>
      </w:r>
      <w:r w:rsidR="009458C6" w:rsidRPr="008A47EB">
        <w:rPr>
          <w:rFonts w:ascii="Times New Roman" w:eastAsia="Times New Roman" w:hAnsi="Times New Roman" w:cs="Times New Roman"/>
          <w:b/>
          <w:bCs/>
          <w:color w:val="2F5496" w:themeColor="accent1" w:themeShade="BF"/>
        </w:rPr>
        <w:t xml:space="preserve">. </w:t>
      </w:r>
      <w:r w:rsidRPr="008A47EB">
        <w:rPr>
          <w:rFonts w:ascii="Times New Roman" w:eastAsia="Times New Roman" w:hAnsi="Times New Roman" w:cs="Times New Roman"/>
          <w:b/>
          <w:bCs/>
          <w:color w:val="2F5496" w:themeColor="accent1" w:themeShade="BF"/>
        </w:rPr>
        <w:t>Demandas del Sector</w:t>
      </w:r>
      <w:bookmarkEnd w:id="49"/>
    </w:p>
    <w:p w14:paraId="697C33C3" w14:textId="77777777" w:rsidR="00D83BC4" w:rsidRPr="00D83BC4" w:rsidRDefault="00D83BC4" w:rsidP="00400E86">
      <w:pPr>
        <w:spacing w:before="100" w:beforeAutospacing="1" w:line="360" w:lineRule="auto"/>
        <w:jc w:val="both"/>
        <w:rPr>
          <w:rFonts w:ascii="Times New Roman" w:eastAsia="Times New Roman" w:hAnsi="Times New Roman" w:cs="Times New Roman"/>
        </w:rPr>
      </w:pPr>
      <w:r w:rsidRPr="00D83BC4">
        <w:rPr>
          <w:rFonts w:ascii="Times New Roman" w:eastAsia="Times New Roman" w:hAnsi="Times New Roman" w:cs="Times New Roman"/>
        </w:rPr>
        <w:t>La Secretaría de Estado o Entidad de la Administración Pública Federal participante se encarga de analizar la problemática relacionada con su área de competencia y las implementa a través de las siguientes estrategias en orden de importancia:</w:t>
      </w:r>
    </w:p>
    <w:p w14:paraId="5CDAAD15" w14:textId="77777777" w:rsidR="00D83BC4" w:rsidRPr="00D83BC4" w:rsidRDefault="00D83BC4" w:rsidP="00D83BC4">
      <w:pPr>
        <w:spacing w:line="360" w:lineRule="auto"/>
        <w:jc w:val="both"/>
        <w:rPr>
          <w:rFonts w:ascii="Times New Roman" w:eastAsia="Times New Roman" w:hAnsi="Times New Roman" w:cs="Times New Roman"/>
        </w:rPr>
      </w:pPr>
    </w:p>
    <w:p w14:paraId="4C2EF863" w14:textId="77777777" w:rsidR="00D83BC4" w:rsidRPr="00D83BC4" w:rsidRDefault="00D83BC4" w:rsidP="00D83BC4">
      <w:pPr>
        <w:numPr>
          <w:ilvl w:val="0"/>
          <w:numId w:val="13"/>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 xml:space="preserve">Como resultado de este análisis se obtiene una lista de prioridades o necesidades, susceptibles de ser atendidas mediante la investigación científica, el desarrollo tecnológico y la innovación, a este </w:t>
      </w:r>
      <w:r w:rsidRPr="00D83BC4">
        <w:rPr>
          <w:rFonts w:ascii="Times New Roman" w:eastAsia="Times New Roman" w:hAnsi="Times New Roman" w:cs="Times New Roman"/>
        </w:rPr>
        <w:lastRenderedPageBreak/>
        <w:t>conjunto de necesidades explícitas de investigación se les conocen como “</w:t>
      </w:r>
      <w:r w:rsidRPr="00D83BC4">
        <w:rPr>
          <w:rFonts w:ascii="Times New Roman" w:eastAsia="Times New Roman" w:hAnsi="Times New Roman" w:cs="Times New Roman"/>
          <w:b/>
        </w:rPr>
        <w:t>Demandas del Sector</w:t>
      </w:r>
      <w:r w:rsidRPr="00D83BC4">
        <w:rPr>
          <w:rFonts w:ascii="Times New Roman" w:eastAsia="Times New Roman" w:hAnsi="Times New Roman" w:cs="Times New Roman"/>
        </w:rPr>
        <w:t>” y formará parte de la convocatoria.</w:t>
      </w:r>
    </w:p>
    <w:p w14:paraId="40FBCE2C" w14:textId="77777777" w:rsidR="00D83BC4" w:rsidRPr="00D83BC4" w:rsidRDefault="00D83BC4" w:rsidP="00D83BC4">
      <w:pPr>
        <w:spacing w:line="360" w:lineRule="auto"/>
        <w:jc w:val="both"/>
        <w:rPr>
          <w:rFonts w:ascii="Times New Roman" w:eastAsia="Times New Roman" w:hAnsi="Times New Roman" w:cs="Times New Roman"/>
        </w:rPr>
      </w:pPr>
    </w:p>
    <w:p w14:paraId="17215085" w14:textId="6F7A4D8F" w:rsidR="00D83BC4" w:rsidRPr="00D83BC4" w:rsidRDefault="00D83BC4" w:rsidP="00D83BC4">
      <w:pPr>
        <w:numPr>
          <w:ilvl w:val="0"/>
          <w:numId w:val="13"/>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Existen algunas excepciones en los Fondos Sectoriales, donde es el propio participante quien propone el tema a investigar o innovar, es el caso del Fondo SEP-</w:t>
      </w:r>
      <w:r w:rsidR="008922A3">
        <w:rPr>
          <w:rFonts w:ascii="Times New Roman" w:eastAsia="Times New Roman" w:hAnsi="Times New Roman" w:cs="Times New Roman"/>
        </w:rPr>
        <w:t>CONACYT</w:t>
      </w:r>
      <w:r w:rsidRPr="00D83BC4">
        <w:rPr>
          <w:rFonts w:ascii="Times New Roman" w:eastAsia="Times New Roman" w:hAnsi="Times New Roman" w:cs="Times New Roman"/>
        </w:rPr>
        <w:t xml:space="preserve"> que apoya el desarrollo de la Ciencia Básica, y los Fondos de Innovación Tecnológica (FIT), y de Innovación (FINNOVA) establecidos con la Secretaría de Educación Pública y con la Secretaría de Economía respectivamente que apoya a empresas innovadoras.</w:t>
      </w:r>
    </w:p>
    <w:p w14:paraId="741AAC52" w14:textId="77777777" w:rsidR="00D83BC4" w:rsidRPr="00D83BC4" w:rsidRDefault="00D83BC4" w:rsidP="00D83BC4">
      <w:pPr>
        <w:spacing w:line="360" w:lineRule="auto"/>
        <w:ind w:left="720"/>
        <w:contextualSpacing/>
        <w:jc w:val="both"/>
        <w:rPr>
          <w:rFonts w:ascii="Times New Roman" w:eastAsia="Times New Roman" w:hAnsi="Times New Roman" w:cs="Times New Roman"/>
        </w:rPr>
      </w:pPr>
    </w:p>
    <w:p w14:paraId="3E51B3DC" w14:textId="178B848A" w:rsidR="00D83BC4" w:rsidRPr="00D83BC4" w:rsidRDefault="00D31E9E" w:rsidP="00D83BC4">
      <w:pPr>
        <w:numPr>
          <w:ilvl w:val="0"/>
          <w:numId w:val="13"/>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Otra de las excepciones corresponde</w:t>
      </w:r>
      <w:r w:rsidR="00D83BC4" w:rsidRPr="00D83BC4">
        <w:rPr>
          <w:rFonts w:ascii="Times New Roman" w:eastAsia="Times New Roman" w:hAnsi="Times New Roman" w:cs="Times New Roman"/>
        </w:rPr>
        <w:t xml:space="preserve"> a las facultades que tienen algunos fondos en sus Reglas de Operación Específicas para emitir convocatorias de acceso restringido a instituciones que tengan la capacidad de atender de forma inmediata temas de atención prioritaria para el sector.</w:t>
      </w:r>
    </w:p>
    <w:p w14:paraId="5F6DD251" w14:textId="54500783" w:rsidR="00D83BC4" w:rsidRPr="008A47EB" w:rsidRDefault="00D83BC4" w:rsidP="008A47EB">
      <w:pPr>
        <w:spacing w:before="100" w:beforeAutospacing="1"/>
        <w:rPr>
          <w:rFonts w:ascii="Times New Roman" w:eastAsia="Times New Roman" w:hAnsi="Times New Roman" w:cs="Times New Roman"/>
          <w:b/>
          <w:bCs/>
          <w:color w:val="2F5496" w:themeColor="accent1" w:themeShade="BF"/>
        </w:rPr>
      </w:pPr>
      <w:bookmarkStart w:id="50" w:name="_Toc453749497"/>
      <w:r w:rsidRPr="008A47EB">
        <w:rPr>
          <w:rFonts w:ascii="Times New Roman" w:eastAsia="Times New Roman" w:hAnsi="Times New Roman" w:cs="Times New Roman"/>
          <w:b/>
          <w:bCs/>
          <w:color w:val="2F5496" w:themeColor="accent1" w:themeShade="BF"/>
        </w:rPr>
        <w:t>V.2.2.2</w:t>
      </w:r>
      <w:r w:rsidR="009458C6" w:rsidRPr="008A47EB">
        <w:rPr>
          <w:rFonts w:ascii="Times New Roman" w:eastAsia="Times New Roman" w:hAnsi="Times New Roman" w:cs="Times New Roman"/>
          <w:b/>
          <w:bCs/>
          <w:color w:val="2F5496" w:themeColor="accent1" w:themeShade="BF"/>
        </w:rPr>
        <w:t>.</w:t>
      </w:r>
      <w:r w:rsidRPr="008A47EB">
        <w:rPr>
          <w:rFonts w:ascii="Times New Roman" w:eastAsia="Times New Roman" w:hAnsi="Times New Roman" w:cs="Times New Roman"/>
          <w:b/>
          <w:bCs/>
          <w:color w:val="2F5496" w:themeColor="accent1" w:themeShade="BF"/>
        </w:rPr>
        <w:t xml:space="preserve"> Emisión de la Convocatoria.</w:t>
      </w:r>
      <w:bookmarkEnd w:id="50"/>
    </w:p>
    <w:p w14:paraId="58F12262" w14:textId="77777777" w:rsidR="00D83BC4" w:rsidRPr="00D83BC4" w:rsidRDefault="00D83BC4" w:rsidP="008A47EB">
      <w:pPr>
        <w:spacing w:before="100" w:beforeAutospacing="1" w:line="360" w:lineRule="auto"/>
        <w:jc w:val="both"/>
        <w:rPr>
          <w:rFonts w:ascii="Times New Roman" w:eastAsia="Times New Roman" w:hAnsi="Times New Roman" w:cs="Times New Roman"/>
        </w:rPr>
      </w:pPr>
      <w:r w:rsidRPr="00D83BC4">
        <w:rPr>
          <w:rFonts w:ascii="Times New Roman" w:eastAsia="Times New Roman" w:hAnsi="Times New Roman" w:cs="Times New Roman"/>
        </w:rPr>
        <w:t>Para lograr la atención de las demandas del sector por parte de los expertos en CTI del país, se emite una Convocatoria dirigida a la comunidad científica, tecnológica y empresarial, tanto del sector público como privado, para que participen con proyectos de investigación científica, desarrollo tecnológico y de innovación, de acuerdo con la modalidad de las demandas.</w:t>
      </w:r>
    </w:p>
    <w:p w14:paraId="35C0DDF9" w14:textId="77777777" w:rsidR="00D83BC4" w:rsidRPr="00D83BC4" w:rsidRDefault="00D83BC4" w:rsidP="00D83BC4">
      <w:pPr>
        <w:spacing w:line="360" w:lineRule="auto"/>
        <w:jc w:val="both"/>
        <w:rPr>
          <w:rFonts w:ascii="Times New Roman" w:eastAsia="Times New Roman" w:hAnsi="Times New Roman" w:cs="Times New Roman"/>
        </w:rPr>
      </w:pPr>
    </w:p>
    <w:p w14:paraId="4310612A" w14:textId="546C9B82"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El proceso de convocatoria se inicia con la aprobación de la Convocatoria por parte del Comité Técnico y de Administración (</w:t>
      </w:r>
      <w:proofErr w:type="spellStart"/>
      <w:r w:rsidR="00F543DC" w:rsidRPr="00D83BC4">
        <w:rPr>
          <w:rFonts w:ascii="Times New Roman" w:eastAsia="Times New Roman" w:hAnsi="Times New Roman" w:cs="Times New Roman"/>
        </w:rPr>
        <w:t>CTyA</w:t>
      </w:r>
      <w:proofErr w:type="spellEnd"/>
      <w:r w:rsidR="00F543DC" w:rsidRPr="00D83BC4">
        <w:rPr>
          <w:rFonts w:ascii="Times New Roman" w:eastAsia="Times New Roman" w:hAnsi="Times New Roman" w:cs="Times New Roman"/>
        </w:rPr>
        <w:t>) y</w:t>
      </w:r>
      <w:r w:rsidRPr="00D83BC4">
        <w:rPr>
          <w:rFonts w:ascii="Times New Roman" w:eastAsia="Times New Roman" w:hAnsi="Times New Roman" w:cs="Times New Roman"/>
        </w:rPr>
        <w:t xml:space="preserve"> su publicación a todos los interesados en la página oficial del </w:t>
      </w:r>
      <w:r w:rsidR="008922A3">
        <w:rPr>
          <w:rFonts w:ascii="Times New Roman" w:eastAsia="Times New Roman" w:hAnsi="Times New Roman" w:cs="Times New Roman"/>
        </w:rPr>
        <w:t>CONACYT</w:t>
      </w:r>
      <w:r w:rsidRPr="00D83BC4">
        <w:rPr>
          <w:rFonts w:ascii="Times New Roman" w:eastAsia="Times New Roman" w:hAnsi="Times New Roman" w:cs="Times New Roman"/>
        </w:rPr>
        <w:t xml:space="preserve"> Adicionalmente, en algunos Fondos se envía el aviso a los enlaces de las instituciones y organismos para su divulgación.</w:t>
      </w:r>
    </w:p>
    <w:p w14:paraId="666C5B93" w14:textId="77777777" w:rsidR="00D83BC4" w:rsidRPr="00D83BC4" w:rsidRDefault="00D83BC4" w:rsidP="00D83BC4">
      <w:pPr>
        <w:spacing w:line="360" w:lineRule="auto"/>
        <w:jc w:val="both"/>
        <w:rPr>
          <w:rFonts w:ascii="Times New Roman" w:eastAsia="Times New Roman" w:hAnsi="Times New Roman" w:cs="Times New Roman"/>
        </w:rPr>
      </w:pPr>
    </w:p>
    <w:p w14:paraId="66021601" w14:textId="77777777" w:rsidR="00D83BC4" w:rsidRPr="00D83BC4" w:rsidRDefault="00D83BC4" w:rsidP="00D83BC4">
      <w:pPr>
        <w:spacing w:line="360" w:lineRule="auto"/>
        <w:jc w:val="both"/>
        <w:rPr>
          <w:rFonts w:ascii="Times New Roman" w:eastAsia="Times New Roman" w:hAnsi="Times New Roman" w:cs="Times New Roman"/>
          <w:b/>
        </w:rPr>
      </w:pPr>
      <w:r w:rsidRPr="00D83BC4">
        <w:rPr>
          <w:rFonts w:ascii="Times New Roman" w:eastAsia="Times New Roman" w:hAnsi="Times New Roman" w:cs="Times New Roman"/>
        </w:rPr>
        <w:t>La Convocatoria está conformada por tres elementos: las Bases, los Términos de Referencia y las Demandas del Sector. Todas las convocatorias de los Fondos deben tener, además, los siguientes elementos mínimos:</w:t>
      </w:r>
    </w:p>
    <w:p w14:paraId="79130B03" w14:textId="77777777" w:rsidR="00D83BC4" w:rsidRPr="00D83BC4" w:rsidRDefault="00D83BC4" w:rsidP="00D83BC4">
      <w:pPr>
        <w:spacing w:line="360" w:lineRule="auto"/>
        <w:ind w:left="720"/>
        <w:contextualSpacing/>
        <w:jc w:val="both"/>
        <w:rPr>
          <w:rFonts w:ascii="Times New Roman" w:eastAsia="Times New Roman" w:hAnsi="Times New Roman" w:cs="Times New Roman"/>
        </w:rPr>
      </w:pPr>
    </w:p>
    <w:p w14:paraId="6A9A6C72"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lastRenderedPageBreak/>
        <w:t>Sustento Legal</w:t>
      </w:r>
    </w:p>
    <w:p w14:paraId="413F4315"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Antecedentes (en su caso)</w:t>
      </w:r>
    </w:p>
    <w:p w14:paraId="32FD4529"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iCs/>
        </w:rPr>
        <w:t xml:space="preserve">Objetivo </w:t>
      </w:r>
      <w:r w:rsidRPr="00D83BC4">
        <w:rPr>
          <w:rFonts w:ascii="Times New Roman" w:eastAsia="Times New Roman" w:hAnsi="Times New Roman" w:cs="Times New Roman"/>
        </w:rPr>
        <w:t>que se busca lograr con el otorgamiento de apoyo</w:t>
      </w:r>
    </w:p>
    <w:p w14:paraId="39530924"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Población objetivo</w:t>
      </w:r>
    </w:p>
    <w:p w14:paraId="41927C5A" w14:textId="77777777" w:rsidR="00D83BC4" w:rsidRPr="00D83BC4" w:rsidRDefault="00D83BC4" w:rsidP="00D83BC4">
      <w:pPr>
        <w:numPr>
          <w:ilvl w:val="0"/>
          <w:numId w:val="15"/>
        </w:numPr>
        <w:autoSpaceDE w:val="0"/>
        <w:autoSpaceDN w:val="0"/>
        <w:adjustRightInd w:val="0"/>
        <w:spacing w:line="360" w:lineRule="auto"/>
        <w:ind w:left="720"/>
        <w:contextualSpacing/>
        <w:jc w:val="both"/>
        <w:rPr>
          <w:rFonts w:ascii="Times New Roman" w:eastAsia="Times New Roman" w:hAnsi="Times New Roman" w:cs="Times New Roman"/>
        </w:rPr>
      </w:pPr>
      <w:r w:rsidRPr="00D83BC4">
        <w:rPr>
          <w:rFonts w:ascii="Times New Roman" w:eastAsia="Times New Roman" w:hAnsi="Times New Roman" w:cs="Times New Roman"/>
        </w:rPr>
        <w:t>Requisitos de elegibilidad</w:t>
      </w:r>
    </w:p>
    <w:p w14:paraId="2BB94D1B"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Características del apoyo</w:t>
      </w:r>
    </w:p>
    <w:p w14:paraId="7ECFD86D" w14:textId="77777777" w:rsidR="00D83BC4" w:rsidRPr="00D83BC4" w:rsidRDefault="00D83BC4" w:rsidP="00D83BC4">
      <w:pPr>
        <w:numPr>
          <w:ilvl w:val="0"/>
          <w:numId w:val="15"/>
        </w:numPr>
        <w:autoSpaceDE w:val="0"/>
        <w:autoSpaceDN w:val="0"/>
        <w:adjustRightInd w:val="0"/>
        <w:spacing w:line="360" w:lineRule="auto"/>
        <w:ind w:left="720"/>
        <w:contextualSpacing/>
        <w:jc w:val="both"/>
        <w:rPr>
          <w:rFonts w:ascii="Times New Roman" w:eastAsia="Times New Roman" w:hAnsi="Times New Roman" w:cs="Times New Roman"/>
        </w:rPr>
      </w:pPr>
      <w:r w:rsidRPr="00D83BC4">
        <w:rPr>
          <w:rFonts w:ascii="Times New Roman" w:eastAsia="Times New Roman" w:hAnsi="Times New Roman" w:cs="Times New Roman"/>
        </w:rPr>
        <w:t>Modalidades de apoyo (en su caso)</w:t>
      </w:r>
    </w:p>
    <w:p w14:paraId="06AEC2B7"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Presentación de propuestas.</w:t>
      </w:r>
    </w:p>
    <w:p w14:paraId="7970965B" w14:textId="77777777" w:rsidR="00D83BC4" w:rsidRPr="00D83BC4" w:rsidRDefault="00D83BC4" w:rsidP="00D83BC4">
      <w:pPr>
        <w:numPr>
          <w:ilvl w:val="0"/>
          <w:numId w:val="15"/>
        </w:numPr>
        <w:autoSpaceDE w:val="0"/>
        <w:autoSpaceDN w:val="0"/>
        <w:adjustRightInd w:val="0"/>
        <w:spacing w:line="360" w:lineRule="auto"/>
        <w:ind w:left="720"/>
        <w:contextualSpacing/>
        <w:jc w:val="both"/>
        <w:rPr>
          <w:rFonts w:ascii="Times New Roman" w:eastAsia="Times New Roman" w:hAnsi="Times New Roman" w:cs="Times New Roman"/>
          <w:bCs/>
        </w:rPr>
      </w:pPr>
      <w:r w:rsidRPr="00D83BC4">
        <w:rPr>
          <w:rFonts w:ascii="Times New Roman" w:eastAsia="Times New Roman" w:hAnsi="Times New Roman" w:cs="Times New Roman"/>
          <w:bCs/>
        </w:rPr>
        <w:t>Requisitos para la presentación de propuestas</w:t>
      </w:r>
    </w:p>
    <w:p w14:paraId="6F4523E1" w14:textId="77777777" w:rsidR="00D83BC4" w:rsidRPr="00D83BC4" w:rsidRDefault="00D83BC4" w:rsidP="00D83BC4">
      <w:pPr>
        <w:numPr>
          <w:ilvl w:val="0"/>
          <w:numId w:val="15"/>
        </w:numPr>
        <w:autoSpaceDE w:val="0"/>
        <w:autoSpaceDN w:val="0"/>
        <w:adjustRightInd w:val="0"/>
        <w:spacing w:line="360" w:lineRule="auto"/>
        <w:ind w:left="720"/>
        <w:contextualSpacing/>
        <w:jc w:val="both"/>
        <w:rPr>
          <w:rFonts w:ascii="Times New Roman" w:eastAsia="Times New Roman" w:hAnsi="Times New Roman" w:cs="Times New Roman"/>
        </w:rPr>
      </w:pPr>
      <w:r w:rsidRPr="00D83BC4">
        <w:rPr>
          <w:rFonts w:ascii="Times New Roman" w:eastAsia="Times New Roman" w:hAnsi="Times New Roman" w:cs="Times New Roman"/>
        </w:rPr>
        <w:t>Lugares donde se deberá presentar la propuesta</w:t>
      </w:r>
    </w:p>
    <w:p w14:paraId="4A7E74A3"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Rubros financiables y no financiables</w:t>
      </w:r>
    </w:p>
    <w:p w14:paraId="704D5B77"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 xml:space="preserve"> </w:t>
      </w:r>
      <w:r w:rsidRPr="00D83BC4">
        <w:rPr>
          <w:rFonts w:ascii="Times New Roman" w:eastAsia="Times New Roman" w:hAnsi="Times New Roman" w:cs="Times New Roman"/>
          <w:iCs/>
        </w:rPr>
        <w:t xml:space="preserve">Breve </w:t>
      </w:r>
      <w:r w:rsidRPr="00D83BC4">
        <w:rPr>
          <w:rFonts w:ascii="Times New Roman" w:eastAsia="Times New Roman" w:hAnsi="Times New Roman" w:cs="Times New Roman"/>
        </w:rPr>
        <w:t xml:space="preserve">descripción de los procesos de </w:t>
      </w:r>
      <w:r w:rsidRPr="00D83BC4">
        <w:rPr>
          <w:rFonts w:ascii="Times New Roman" w:eastAsia="Times New Roman" w:hAnsi="Times New Roman" w:cs="Times New Roman"/>
          <w:iCs/>
        </w:rPr>
        <w:t xml:space="preserve">evaluación, </w:t>
      </w:r>
      <w:r w:rsidRPr="00D83BC4">
        <w:rPr>
          <w:rFonts w:ascii="Times New Roman" w:eastAsia="Times New Roman" w:hAnsi="Times New Roman" w:cs="Times New Roman"/>
        </w:rPr>
        <w:t>selección y formalización</w:t>
      </w:r>
    </w:p>
    <w:p w14:paraId="62BAE4A8" w14:textId="77777777" w:rsidR="00D83BC4" w:rsidRPr="00D83BC4" w:rsidRDefault="00D83BC4" w:rsidP="00D83BC4">
      <w:pPr>
        <w:numPr>
          <w:ilvl w:val="0"/>
          <w:numId w:val="16"/>
        </w:numPr>
        <w:autoSpaceDE w:val="0"/>
        <w:autoSpaceDN w:val="0"/>
        <w:adjustRightInd w:val="0"/>
        <w:spacing w:line="360" w:lineRule="auto"/>
        <w:ind w:left="720"/>
        <w:contextualSpacing/>
        <w:jc w:val="both"/>
        <w:rPr>
          <w:rFonts w:ascii="Times New Roman" w:eastAsia="Times New Roman" w:hAnsi="Times New Roman" w:cs="Times New Roman"/>
          <w:bCs/>
        </w:rPr>
      </w:pPr>
      <w:r w:rsidRPr="00D83BC4">
        <w:rPr>
          <w:rFonts w:ascii="Times New Roman" w:eastAsia="Times New Roman" w:hAnsi="Times New Roman" w:cs="Times New Roman"/>
          <w:bCs/>
        </w:rPr>
        <w:t>Criterios generales de evaluación V/o selección</w:t>
      </w:r>
    </w:p>
    <w:p w14:paraId="36E2E7C2" w14:textId="77777777" w:rsidR="00D83BC4" w:rsidRPr="00D83BC4" w:rsidRDefault="00D83BC4" w:rsidP="00D83BC4">
      <w:pPr>
        <w:numPr>
          <w:ilvl w:val="0"/>
          <w:numId w:val="16"/>
        </w:numPr>
        <w:autoSpaceDE w:val="0"/>
        <w:autoSpaceDN w:val="0"/>
        <w:adjustRightInd w:val="0"/>
        <w:spacing w:line="360" w:lineRule="auto"/>
        <w:ind w:left="720"/>
        <w:contextualSpacing/>
        <w:jc w:val="both"/>
        <w:rPr>
          <w:rFonts w:ascii="Times New Roman" w:eastAsia="Times New Roman" w:hAnsi="Times New Roman" w:cs="Times New Roman"/>
        </w:rPr>
      </w:pPr>
      <w:r w:rsidRPr="00D83BC4">
        <w:rPr>
          <w:rFonts w:ascii="Times New Roman" w:eastAsia="Times New Roman" w:hAnsi="Times New Roman" w:cs="Times New Roman"/>
        </w:rPr>
        <w:t>Plazo para la firma del CAR (Convenio de Asignación de Recursos)</w:t>
      </w:r>
    </w:p>
    <w:p w14:paraId="39E1D871"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Asignación y ejercicio del recurso</w:t>
      </w:r>
    </w:p>
    <w:p w14:paraId="28392E29" w14:textId="77777777" w:rsidR="00D83BC4" w:rsidRPr="00D83BC4" w:rsidRDefault="00D83BC4" w:rsidP="00D83BC4">
      <w:pPr>
        <w:numPr>
          <w:ilvl w:val="0"/>
          <w:numId w:val="17"/>
        </w:numPr>
        <w:autoSpaceDE w:val="0"/>
        <w:autoSpaceDN w:val="0"/>
        <w:adjustRightInd w:val="0"/>
        <w:spacing w:line="360" w:lineRule="auto"/>
        <w:ind w:left="720"/>
        <w:contextualSpacing/>
        <w:jc w:val="both"/>
        <w:rPr>
          <w:rFonts w:ascii="Times New Roman" w:eastAsia="Times New Roman" w:hAnsi="Times New Roman" w:cs="Times New Roman"/>
          <w:bCs/>
        </w:rPr>
      </w:pPr>
      <w:r w:rsidRPr="00D83BC4">
        <w:rPr>
          <w:rFonts w:ascii="Times New Roman" w:eastAsia="Times New Roman" w:hAnsi="Times New Roman" w:cs="Times New Roman"/>
          <w:bCs/>
        </w:rPr>
        <w:t xml:space="preserve">Entrega de documentación necesaria para la ministración de recursos y la asignación </w:t>
      </w:r>
      <w:r w:rsidRPr="00D83BC4">
        <w:rPr>
          <w:rFonts w:ascii="Times New Roman" w:eastAsia="Times New Roman" w:hAnsi="Times New Roman" w:cs="Times New Roman"/>
        </w:rPr>
        <w:t>de éstos</w:t>
      </w:r>
    </w:p>
    <w:p w14:paraId="34AC9CD5"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Seguimiento del apoyo</w:t>
      </w:r>
    </w:p>
    <w:p w14:paraId="5D096B39"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Finiquito/Cancelación/Terminación Anticipada</w:t>
      </w:r>
    </w:p>
    <w:p w14:paraId="4D634D5C"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Rendición de cuentas</w:t>
      </w:r>
    </w:p>
    <w:p w14:paraId="759BB296"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Instancias de fiscalización</w:t>
      </w:r>
    </w:p>
    <w:p w14:paraId="711F2178"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Calendario</w:t>
      </w:r>
    </w:p>
    <w:p w14:paraId="5253F7E5"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Consideraciones Generales</w:t>
      </w:r>
    </w:p>
    <w:p w14:paraId="7A59FD68" w14:textId="77777777" w:rsidR="00D83BC4" w:rsidRPr="00D83BC4" w:rsidRDefault="00D83BC4" w:rsidP="00D83BC4">
      <w:pPr>
        <w:numPr>
          <w:ilvl w:val="0"/>
          <w:numId w:val="17"/>
        </w:numPr>
        <w:autoSpaceDE w:val="0"/>
        <w:autoSpaceDN w:val="0"/>
        <w:adjustRightInd w:val="0"/>
        <w:spacing w:line="360" w:lineRule="auto"/>
        <w:ind w:left="720"/>
        <w:contextualSpacing/>
        <w:jc w:val="both"/>
        <w:rPr>
          <w:rFonts w:ascii="Times New Roman" w:eastAsia="Times New Roman" w:hAnsi="Times New Roman" w:cs="Times New Roman"/>
        </w:rPr>
      </w:pPr>
      <w:r w:rsidRPr="00D83BC4">
        <w:rPr>
          <w:rFonts w:ascii="Times New Roman" w:eastAsia="Times New Roman" w:hAnsi="Times New Roman" w:cs="Times New Roman"/>
        </w:rPr>
        <w:t>Interpretación y Asuntos no previstos</w:t>
      </w:r>
    </w:p>
    <w:p w14:paraId="695B6A3A" w14:textId="77777777" w:rsidR="00D83BC4" w:rsidRPr="00D83BC4" w:rsidRDefault="00D83BC4" w:rsidP="00D83BC4">
      <w:pPr>
        <w:numPr>
          <w:ilvl w:val="0"/>
          <w:numId w:val="17"/>
        </w:numPr>
        <w:autoSpaceDE w:val="0"/>
        <w:autoSpaceDN w:val="0"/>
        <w:adjustRightInd w:val="0"/>
        <w:spacing w:line="360" w:lineRule="auto"/>
        <w:ind w:left="720"/>
        <w:contextualSpacing/>
        <w:jc w:val="both"/>
        <w:rPr>
          <w:rFonts w:ascii="Times New Roman" w:eastAsia="Times New Roman" w:hAnsi="Times New Roman" w:cs="Times New Roman"/>
        </w:rPr>
      </w:pPr>
      <w:r w:rsidRPr="00D83BC4">
        <w:rPr>
          <w:rFonts w:ascii="Times New Roman" w:eastAsia="Times New Roman" w:hAnsi="Times New Roman" w:cs="Times New Roman"/>
        </w:rPr>
        <w:t>Referencia clara y explícita de que el número de proyectos y sus alcances estarán sujetos a la disponibilidad presupuestal del Programa o Fondo</w:t>
      </w:r>
    </w:p>
    <w:p w14:paraId="73071F30" w14:textId="5FBF0ABC" w:rsidR="00D83BC4" w:rsidRPr="00D83BC4" w:rsidRDefault="00D83BC4" w:rsidP="00D83BC4">
      <w:pPr>
        <w:numPr>
          <w:ilvl w:val="0"/>
          <w:numId w:val="17"/>
        </w:numPr>
        <w:autoSpaceDE w:val="0"/>
        <w:autoSpaceDN w:val="0"/>
        <w:adjustRightInd w:val="0"/>
        <w:spacing w:line="360" w:lineRule="auto"/>
        <w:ind w:left="720"/>
        <w:contextualSpacing/>
        <w:jc w:val="both"/>
        <w:rPr>
          <w:rFonts w:ascii="Times New Roman" w:eastAsia="Times New Roman" w:hAnsi="Times New Roman" w:cs="Times New Roman"/>
        </w:rPr>
      </w:pPr>
      <w:r w:rsidRPr="00D83BC4">
        <w:rPr>
          <w:rFonts w:ascii="Times New Roman" w:eastAsia="Times New Roman" w:hAnsi="Times New Roman" w:cs="Times New Roman"/>
        </w:rPr>
        <w:lastRenderedPageBreak/>
        <w:t xml:space="preserve">Mecanismo de manifiesto por parte del </w:t>
      </w:r>
      <w:r w:rsidRPr="00D83BC4">
        <w:rPr>
          <w:rFonts w:ascii="Times New Roman" w:eastAsia="Times New Roman" w:hAnsi="Times New Roman" w:cs="Times New Roman"/>
          <w:b/>
        </w:rPr>
        <w:t>Sujeto de Apoyo*</w:t>
      </w:r>
      <w:r w:rsidRPr="00D83BC4">
        <w:rPr>
          <w:rFonts w:ascii="Times New Roman" w:eastAsia="Times New Roman" w:hAnsi="Times New Roman" w:cs="Times New Roman"/>
        </w:rPr>
        <w:t xml:space="preserve"> de no incurrir en duplicidad de la solicitud en otros programas de </w:t>
      </w:r>
      <w:r w:rsidR="008922A3">
        <w:rPr>
          <w:rFonts w:ascii="Times New Roman" w:eastAsia="Times New Roman" w:hAnsi="Times New Roman" w:cs="Times New Roman"/>
        </w:rPr>
        <w:t>CONACYT</w:t>
      </w:r>
      <w:r w:rsidRPr="00D83BC4">
        <w:rPr>
          <w:rFonts w:ascii="Times New Roman" w:eastAsia="Times New Roman" w:hAnsi="Times New Roman" w:cs="Times New Roman"/>
        </w:rPr>
        <w:t xml:space="preserve">. (Restricciones e incompatibilidades </w:t>
      </w:r>
      <w:r w:rsidRPr="00D83BC4">
        <w:rPr>
          <w:rFonts w:ascii="Times New Roman" w:eastAsia="Times New Roman" w:hAnsi="Times New Roman" w:cs="Times New Roman"/>
          <w:bCs/>
        </w:rPr>
        <w:t>con otros apoyos otorgados o presentación de la misma propuesta a otras instancias)</w:t>
      </w:r>
    </w:p>
    <w:p w14:paraId="734478C2" w14:textId="3DB3F316" w:rsidR="00D83BC4" w:rsidRPr="00D83BC4" w:rsidRDefault="00D83BC4" w:rsidP="00D83BC4">
      <w:pPr>
        <w:numPr>
          <w:ilvl w:val="0"/>
          <w:numId w:val="17"/>
        </w:numPr>
        <w:autoSpaceDE w:val="0"/>
        <w:autoSpaceDN w:val="0"/>
        <w:adjustRightInd w:val="0"/>
        <w:spacing w:line="360" w:lineRule="auto"/>
        <w:ind w:left="720"/>
        <w:contextualSpacing/>
        <w:jc w:val="both"/>
        <w:rPr>
          <w:rFonts w:ascii="Times New Roman" w:eastAsia="Times New Roman" w:hAnsi="Times New Roman" w:cs="Times New Roman"/>
        </w:rPr>
      </w:pPr>
      <w:r w:rsidRPr="00D83BC4">
        <w:rPr>
          <w:rFonts w:ascii="Times New Roman" w:eastAsia="Times New Roman" w:hAnsi="Times New Roman" w:cs="Times New Roman"/>
        </w:rPr>
        <w:t xml:space="preserve">Mecanismo de manifiesto por parte del Sujeto de Apoyo de que no cuenta con adeudos económicos con el </w:t>
      </w:r>
      <w:r w:rsidR="008922A3">
        <w:rPr>
          <w:rFonts w:ascii="Times New Roman" w:eastAsia="Times New Roman" w:hAnsi="Times New Roman" w:cs="Times New Roman"/>
        </w:rPr>
        <w:t>CONACYT</w:t>
      </w:r>
    </w:p>
    <w:p w14:paraId="24D9A24A" w14:textId="77777777" w:rsidR="00D83BC4" w:rsidRPr="00D83BC4" w:rsidRDefault="00D83BC4" w:rsidP="00D83BC4">
      <w:pPr>
        <w:numPr>
          <w:ilvl w:val="0"/>
          <w:numId w:val="17"/>
        </w:numPr>
        <w:autoSpaceDE w:val="0"/>
        <w:autoSpaceDN w:val="0"/>
        <w:adjustRightInd w:val="0"/>
        <w:spacing w:line="360" w:lineRule="auto"/>
        <w:ind w:left="720"/>
        <w:contextualSpacing/>
        <w:jc w:val="both"/>
        <w:rPr>
          <w:rFonts w:ascii="Times New Roman" w:eastAsia="Times New Roman" w:hAnsi="Times New Roman" w:cs="Times New Roman"/>
          <w:bCs/>
        </w:rPr>
      </w:pPr>
      <w:r w:rsidRPr="00D83BC4">
        <w:rPr>
          <w:rFonts w:ascii="Times New Roman" w:eastAsia="Times New Roman" w:hAnsi="Times New Roman" w:cs="Times New Roman"/>
          <w:bCs/>
        </w:rPr>
        <w:t xml:space="preserve">La mención de que el proponente conoce y se sujeta al contenido de la normatividad </w:t>
      </w:r>
      <w:r w:rsidRPr="00D83BC4">
        <w:rPr>
          <w:rFonts w:ascii="Times New Roman" w:eastAsia="Times New Roman" w:hAnsi="Times New Roman" w:cs="Times New Roman"/>
        </w:rPr>
        <w:t>que rige la operación del Fondo o Programa</w:t>
      </w:r>
    </w:p>
    <w:p w14:paraId="4C33B571"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Principios</w:t>
      </w:r>
    </w:p>
    <w:p w14:paraId="76C4919B" w14:textId="77777777" w:rsidR="00D83BC4" w:rsidRPr="00D83BC4" w:rsidRDefault="00D83BC4" w:rsidP="00D83BC4">
      <w:pPr>
        <w:numPr>
          <w:ilvl w:val="0"/>
          <w:numId w:val="18"/>
        </w:numPr>
        <w:autoSpaceDE w:val="0"/>
        <w:autoSpaceDN w:val="0"/>
        <w:adjustRightInd w:val="0"/>
        <w:spacing w:line="360" w:lineRule="auto"/>
        <w:ind w:left="720"/>
        <w:contextualSpacing/>
        <w:jc w:val="both"/>
        <w:rPr>
          <w:rFonts w:ascii="Times New Roman" w:eastAsia="Times New Roman" w:hAnsi="Times New Roman" w:cs="Times New Roman"/>
          <w:bCs/>
        </w:rPr>
      </w:pPr>
      <w:r w:rsidRPr="00D83BC4">
        <w:rPr>
          <w:rFonts w:ascii="Times New Roman" w:eastAsia="Times New Roman" w:hAnsi="Times New Roman" w:cs="Times New Roman"/>
          <w:bCs/>
        </w:rPr>
        <w:t>Equidad y no Discriminación</w:t>
      </w:r>
    </w:p>
    <w:p w14:paraId="6E12D42D" w14:textId="77777777" w:rsidR="00D83BC4" w:rsidRPr="00D83BC4" w:rsidRDefault="00D83BC4" w:rsidP="00D83BC4">
      <w:pPr>
        <w:numPr>
          <w:ilvl w:val="0"/>
          <w:numId w:val="18"/>
        </w:numPr>
        <w:autoSpaceDE w:val="0"/>
        <w:autoSpaceDN w:val="0"/>
        <w:adjustRightInd w:val="0"/>
        <w:spacing w:line="360" w:lineRule="auto"/>
        <w:ind w:left="720"/>
        <w:contextualSpacing/>
        <w:jc w:val="both"/>
        <w:rPr>
          <w:rFonts w:ascii="Times New Roman" w:eastAsia="Times New Roman" w:hAnsi="Times New Roman" w:cs="Times New Roman"/>
        </w:rPr>
      </w:pPr>
      <w:r w:rsidRPr="00D83BC4">
        <w:rPr>
          <w:rFonts w:ascii="Times New Roman" w:eastAsia="Times New Roman" w:hAnsi="Times New Roman" w:cs="Times New Roman"/>
        </w:rPr>
        <w:t>Equilibrio Ecológico y Protección al Ambiente</w:t>
      </w:r>
    </w:p>
    <w:p w14:paraId="6362BFB3" w14:textId="77777777" w:rsidR="00D83BC4" w:rsidRPr="00D83BC4" w:rsidRDefault="00D83BC4" w:rsidP="00D83BC4">
      <w:pPr>
        <w:numPr>
          <w:ilvl w:val="0"/>
          <w:numId w:val="18"/>
        </w:numPr>
        <w:autoSpaceDE w:val="0"/>
        <w:autoSpaceDN w:val="0"/>
        <w:adjustRightInd w:val="0"/>
        <w:spacing w:line="360" w:lineRule="auto"/>
        <w:ind w:left="720"/>
        <w:contextualSpacing/>
        <w:jc w:val="both"/>
        <w:rPr>
          <w:rFonts w:ascii="Times New Roman" w:eastAsia="Times New Roman" w:hAnsi="Times New Roman" w:cs="Times New Roman"/>
          <w:bCs/>
        </w:rPr>
      </w:pPr>
      <w:r w:rsidRPr="00D83BC4">
        <w:rPr>
          <w:rFonts w:ascii="Times New Roman" w:eastAsia="Times New Roman" w:hAnsi="Times New Roman" w:cs="Times New Roman"/>
          <w:bCs/>
        </w:rPr>
        <w:t>Transparencia, Eficiencia, Eficacia, Economía y Honradez</w:t>
      </w:r>
    </w:p>
    <w:p w14:paraId="5E6131E2" w14:textId="77777777" w:rsidR="00D83BC4" w:rsidRPr="00D83BC4" w:rsidRDefault="00D83BC4" w:rsidP="00D83BC4">
      <w:pPr>
        <w:numPr>
          <w:ilvl w:val="0"/>
          <w:numId w:val="18"/>
        </w:numPr>
        <w:autoSpaceDE w:val="0"/>
        <w:autoSpaceDN w:val="0"/>
        <w:adjustRightInd w:val="0"/>
        <w:spacing w:line="360" w:lineRule="auto"/>
        <w:ind w:left="720"/>
        <w:contextualSpacing/>
        <w:jc w:val="both"/>
        <w:rPr>
          <w:rFonts w:ascii="Times New Roman" w:eastAsia="Times New Roman" w:hAnsi="Times New Roman" w:cs="Times New Roman"/>
        </w:rPr>
      </w:pPr>
      <w:r w:rsidRPr="00D83BC4">
        <w:rPr>
          <w:rFonts w:ascii="Times New Roman" w:eastAsia="Times New Roman" w:hAnsi="Times New Roman" w:cs="Times New Roman"/>
        </w:rPr>
        <w:t>Apropiación Social del Conocimiento</w:t>
      </w:r>
    </w:p>
    <w:p w14:paraId="51C38E9B" w14:textId="77777777" w:rsidR="00D83BC4" w:rsidRPr="00D83BC4" w:rsidRDefault="00D83BC4" w:rsidP="00D83BC4">
      <w:pPr>
        <w:numPr>
          <w:ilvl w:val="0"/>
          <w:numId w:val="18"/>
        </w:numPr>
        <w:autoSpaceDE w:val="0"/>
        <w:autoSpaceDN w:val="0"/>
        <w:adjustRightInd w:val="0"/>
        <w:spacing w:line="360" w:lineRule="auto"/>
        <w:ind w:left="720"/>
        <w:contextualSpacing/>
        <w:jc w:val="both"/>
        <w:rPr>
          <w:rFonts w:ascii="Times New Roman" w:eastAsia="Times New Roman" w:hAnsi="Times New Roman" w:cs="Times New Roman"/>
        </w:rPr>
      </w:pPr>
      <w:r w:rsidRPr="00D83BC4">
        <w:rPr>
          <w:rFonts w:ascii="Times New Roman" w:eastAsia="Times New Roman" w:hAnsi="Times New Roman" w:cs="Times New Roman"/>
        </w:rPr>
        <w:t>Protección a la Propiedad Intelectual</w:t>
      </w:r>
    </w:p>
    <w:p w14:paraId="5642B28A"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Confidencialidad y manejo de la información</w:t>
      </w:r>
    </w:p>
    <w:p w14:paraId="57C836FE"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Vigencia de la convocatoria</w:t>
      </w:r>
    </w:p>
    <w:p w14:paraId="36F28677"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Contacto</w:t>
      </w:r>
    </w:p>
    <w:p w14:paraId="111D550E" w14:textId="77777777" w:rsidR="00D83BC4" w:rsidRPr="00D83BC4" w:rsidRDefault="00D83BC4" w:rsidP="00D83BC4">
      <w:pPr>
        <w:numPr>
          <w:ilvl w:val="0"/>
          <w:numId w:val="14"/>
        </w:numPr>
        <w:autoSpaceDE w:val="0"/>
        <w:autoSpaceDN w:val="0"/>
        <w:adjustRightInd w:val="0"/>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Unidad Administrativa responsable de la convocatoria</w:t>
      </w:r>
    </w:p>
    <w:p w14:paraId="2D54BB0D" w14:textId="77777777" w:rsidR="00D83BC4" w:rsidRPr="00D83BC4" w:rsidRDefault="00D83BC4" w:rsidP="00D83BC4">
      <w:pPr>
        <w:spacing w:line="360" w:lineRule="auto"/>
        <w:jc w:val="both"/>
        <w:rPr>
          <w:rFonts w:ascii="Times New Roman" w:eastAsia="Times New Roman" w:hAnsi="Times New Roman" w:cs="Times New Roman"/>
          <w:b/>
        </w:rPr>
      </w:pPr>
    </w:p>
    <w:p w14:paraId="2698A7B5"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w:t>
      </w:r>
      <w:r w:rsidRPr="00D83BC4">
        <w:rPr>
          <w:rFonts w:ascii="Times New Roman" w:eastAsia="Times New Roman" w:hAnsi="Times New Roman" w:cs="Times New Roman"/>
          <w:b/>
        </w:rPr>
        <w:t>Sujeto de Apoyo:</w:t>
      </w:r>
      <w:r w:rsidRPr="00D83BC4">
        <w:rPr>
          <w:rFonts w:ascii="Times New Roman" w:eastAsia="Times New Roman" w:hAnsi="Times New Roman" w:cs="Times New Roman"/>
        </w:rPr>
        <w:t xml:space="preserve"> Persona Física o Moral beneficiaria de los recursos del Fondo.</w:t>
      </w:r>
    </w:p>
    <w:p w14:paraId="49669741" w14:textId="77777777" w:rsidR="00D83BC4" w:rsidRPr="00D83BC4" w:rsidRDefault="00D83BC4" w:rsidP="00D83BC4">
      <w:pPr>
        <w:spacing w:line="360" w:lineRule="auto"/>
        <w:jc w:val="both"/>
        <w:rPr>
          <w:rFonts w:ascii="Times New Roman" w:eastAsia="Times New Roman" w:hAnsi="Times New Roman" w:cs="Times New Roman"/>
        </w:rPr>
      </w:pPr>
    </w:p>
    <w:p w14:paraId="7FC583E8" w14:textId="5B17E63C" w:rsidR="00D83BC4" w:rsidRPr="008A47EB" w:rsidRDefault="00D83BC4" w:rsidP="002C2BC1">
      <w:pPr>
        <w:rPr>
          <w:rFonts w:ascii="Times New Roman" w:eastAsia="Times New Roman" w:hAnsi="Times New Roman" w:cs="Times New Roman"/>
          <w:b/>
          <w:bCs/>
          <w:color w:val="2F5496" w:themeColor="accent1" w:themeShade="BF"/>
          <w:lang w:val="es-MX"/>
        </w:rPr>
      </w:pPr>
      <w:bookmarkStart w:id="51" w:name="_Toc453749498"/>
      <w:r w:rsidRPr="008A47EB">
        <w:rPr>
          <w:rFonts w:ascii="Times New Roman" w:eastAsia="Times New Roman" w:hAnsi="Times New Roman" w:cs="Times New Roman"/>
          <w:b/>
          <w:bCs/>
          <w:color w:val="2F5496" w:themeColor="accent1" w:themeShade="BF"/>
        </w:rPr>
        <w:t>V.2.2.3</w:t>
      </w:r>
      <w:r w:rsidR="009458C6" w:rsidRPr="008A47EB">
        <w:rPr>
          <w:rFonts w:ascii="Times New Roman" w:eastAsia="Times New Roman" w:hAnsi="Times New Roman" w:cs="Times New Roman"/>
          <w:b/>
          <w:bCs/>
          <w:color w:val="2F5496" w:themeColor="accent1" w:themeShade="BF"/>
        </w:rPr>
        <w:t>.</w:t>
      </w:r>
      <w:r w:rsidRPr="008A47EB">
        <w:rPr>
          <w:rFonts w:ascii="Times New Roman" w:eastAsia="Times New Roman" w:hAnsi="Times New Roman" w:cs="Times New Roman"/>
          <w:b/>
          <w:bCs/>
          <w:color w:val="2F5496" w:themeColor="accent1" w:themeShade="BF"/>
        </w:rPr>
        <w:t xml:space="preserve"> Presentación de Propuestas.</w:t>
      </w:r>
      <w:bookmarkEnd w:id="51"/>
    </w:p>
    <w:p w14:paraId="57625FAE" w14:textId="77777777" w:rsidR="00D83BC4" w:rsidRPr="00D83BC4" w:rsidRDefault="00D83BC4" w:rsidP="008A47EB">
      <w:pPr>
        <w:spacing w:before="100" w:beforeAutospacing="1" w:line="360" w:lineRule="auto"/>
        <w:jc w:val="both"/>
        <w:rPr>
          <w:rFonts w:ascii="Times New Roman" w:eastAsia="Times New Roman" w:hAnsi="Times New Roman" w:cs="Times New Roman"/>
        </w:rPr>
      </w:pPr>
      <w:r w:rsidRPr="00D83BC4">
        <w:rPr>
          <w:rFonts w:ascii="Times New Roman" w:eastAsia="Times New Roman" w:hAnsi="Times New Roman" w:cs="Times New Roman"/>
        </w:rPr>
        <w:t>El proceso de presentación de las propuestas ha sido diseñado para dar transparencia y equidad a la participación de todos los interesados, ingreso de las propuestas está establecido en la convocatoria.</w:t>
      </w:r>
    </w:p>
    <w:p w14:paraId="73FD6E8C" w14:textId="77777777" w:rsidR="00D83BC4" w:rsidRPr="00D83BC4" w:rsidRDefault="00D83BC4" w:rsidP="00D83BC4">
      <w:pPr>
        <w:spacing w:line="360" w:lineRule="auto"/>
        <w:jc w:val="both"/>
        <w:rPr>
          <w:rFonts w:ascii="Times New Roman" w:eastAsia="Times New Roman" w:hAnsi="Times New Roman" w:cs="Times New Roman"/>
        </w:rPr>
      </w:pPr>
    </w:p>
    <w:p w14:paraId="5C86F6FB" w14:textId="6CD4B498" w:rsidR="00D83BC4" w:rsidRPr="00D83BC4" w:rsidRDefault="00D83BC4" w:rsidP="00D83BC4">
      <w:pPr>
        <w:spacing w:line="360" w:lineRule="auto"/>
        <w:jc w:val="both"/>
        <w:rPr>
          <w:rFonts w:ascii="Times New Roman" w:eastAsia="Times New Roman" w:hAnsi="Times New Roman" w:cs="Times New Roman"/>
        </w:rPr>
      </w:pPr>
      <w:r w:rsidRPr="000602B5">
        <w:rPr>
          <w:rFonts w:ascii="Times New Roman" w:eastAsia="Times New Roman" w:hAnsi="Times New Roman" w:cs="Times New Roman"/>
        </w:rPr>
        <w:t>El ingreso de propuestas que utilizan los Fondos que integran el Programa S</w:t>
      </w:r>
      <w:r w:rsidR="00834F5B" w:rsidRPr="000602B5">
        <w:rPr>
          <w:rFonts w:ascii="Times New Roman" w:eastAsia="Times New Roman" w:hAnsi="Times New Roman" w:cs="Times New Roman"/>
        </w:rPr>
        <w:t>192, es</w:t>
      </w:r>
      <w:r w:rsidRPr="000602B5">
        <w:rPr>
          <w:rFonts w:ascii="Times New Roman" w:eastAsia="Times New Roman" w:hAnsi="Times New Roman" w:cs="Times New Roman"/>
        </w:rPr>
        <w:t xml:space="preserve"> mediante el Sistema Informático de Administración de Proyectos de </w:t>
      </w:r>
      <w:r w:rsidR="008922A3">
        <w:rPr>
          <w:rFonts w:ascii="Times New Roman" w:eastAsia="Times New Roman" w:hAnsi="Times New Roman" w:cs="Times New Roman"/>
        </w:rPr>
        <w:t>CONACYT</w:t>
      </w:r>
      <w:r w:rsidRPr="000602B5">
        <w:rPr>
          <w:rFonts w:ascii="Times New Roman" w:eastAsia="Times New Roman" w:hAnsi="Times New Roman" w:cs="Times New Roman"/>
        </w:rPr>
        <w:t xml:space="preserve"> (SIAP) permite:</w:t>
      </w:r>
    </w:p>
    <w:p w14:paraId="40BDDA6B" w14:textId="77777777" w:rsidR="00D83BC4" w:rsidRPr="00D83BC4" w:rsidRDefault="00D83BC4" w:rsidP="00D83BC4">
      <w:pPr>
        <w:spacing w:line="360" w:lineRule="auto"/>
        <w:jc w:val="both"/>
        <w:rPr>
          <w:rFonts w:ascii="Times New Roman" w:eastAsia="Times New Roman" w:hAnsi="Times New Roman" w:cs="Times New Roman"/>
        </w:rPr>
      </w:pPr>
    </w:p>
    <w:p w14:paraId="4E710F8A" w14:textId="77777777" w:rsidR="00D83BC4" w:rsidRPr="00D83BC4" w:rsidRDefault="00D83BC4" w:rsidP="00D83BC4">
      <w:pPr>
        <w:numPr>
          <w:ilvl w:val="0"/>
          <w:numId w:val="19"/>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lastRenderedPageBreak/>
        <w:t>La estandarización del proceso.</w:t>
      </w:r>
    </w:p>
    <w:p w14:paraId="626E04B6" w14:textId="77777777" w:rsidR="00D83BC4" w:rsidRPr="00D83BC4" w:rsidRDefault="00D83BC4" w:rsidP="00D83BC4">
      <w:pPr>
        <w:numPr>
          <w:ilvl w:val="0"/>
          <w:numId w:val="19"/>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Ofrece a los sujetos de apoyo las mismas oportunidades de ingresar su solicitud.</w:t>
      </w:r>
    </w:p>
    <w:p w14:paraId="31B7A351" w14:textId="77777777" w:rsidR="00D83BC4" w:rsidRPr="00D83BC4" w:rsidRDefault="00D83BC4" w:rsidP="00D83BC4">
      <w:pPr>
        <w:numPr>
          <w:ilvl w:val="0"/>
          <w:numId w:val="19"/>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Permite visualizar las propuestas y analizar información relevante de la Convocatoria, como lo es el número de solicitantes por cada demanda, el monto total solicitado para llevar a cabo las propuestas y las características de los solicitantes.</w:t>
      </w:r>
    </w:p>
    <w:p w14:paraId="6F81E5C9" w14:textId="77777777" w:rsidR="00834F5B" w:rsidRDefault="00834F5B" w:rsidP="00D83BC4">
      <w:pPr>
        <w:spacing w:line="360" w:lineRule="auto"/>
        <w:jc w:val="both"/>
        <w:rPr>
          <w:rFonts w:ascii="Times New Roman" w:eastAsia="Times New Roman" w:hAnsi="Times New Roman" w:cs="Times New Roman"/>
        </w:rPr>
      </w:pPr>
    </w:p>
    <w:p w14:paraId="6D013529" w14:textId="57303584"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La normativa del programa S192 aplicable para recibir, registrar y dar trámite a las propuestas, está establecida en los documentos normativos del Programa y en las Convocatorias que se emiten.</w:t>
      </w:r>
    </w:p>
    <w:p w14:paraId="626164D2" w14:textId="77777777" w:rsidR="00D83BC4" w:rsidRPr="00D83BC4" w:rsidRDefault="00D83BC4" w:rsidP="00D83BC4">
      <w:pPr>
        <w:spacing w:line="360" w:lineRule="auto"/>
        <w:jc w:val="both"/>
        <w:rPr>
          <w:rFonts w:ascii="Times New Roman" w:eastAsia="Times New Roman" w:hAnsi="Times New Roman" w:cs="Times New Roman"/>
        </w:rPr>
      </w:pPr>
    </w:p>
    <w:p w14:paraId="4D65C11A" w14:textId="6FFE37BC"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Las instituciones, empresas de carácter público o privado o personas físicas con actividad empresarial, en cuyo nombre se presentan las solicitudes al Progr</w:t>
      </w:r>
      <w:r w:rsidR="00834F5B">
        <w:rPr>
          <w:rFonts w:ascii="Times New Roman" w:eastAsia="Times New Roman" w:hAnsi="Times New Roman" w:cs="Times New Roman"/>
        </w:rPr>
        <w:t xml:space="preserve">ama S192 tienen como requisito </w:t>
      </w:r>
      <w:r w:rsidRPr="00D83BC4">
        <w:rPr>
          <w:rFonts w:ascii="Times New Roman" w:eastAsia="Times New Roman" w:hAnsi="Times New Roman" w:cs="Times New Roman"/>
        </w:rPr>
        <w:t>estar registrados en el Registro Nacional de Instituciones y Empres</w:t>
      </w:r>
      <w:r w:rsidR="00834F5B">
        <w:rPr>
          <w:rFonts w:ascii="Times New Roman" w:eastAsia="Times New Roman" w:hAnsi="Times New Roman" w:cs="Times New Roman"/>
        </w:rPr>
        <w:t>as Científicas y Tecnológicas (RENIECYT).</w:t>
      </w:r>
    </w:p>
    <w:p w14:paraId="53ADE31A" w14:textId="77777777" w:rsidR="00D83BC4" w:rsidRPr="00D83BC4" w:rsidRDefault="00D83BC4" w:rsidP="00D83BC4">
      <w:pPr>
        <w:spacing w:line="360" w:lineRule="auto"/>
        <w:jc w:val="both"/>
        <w:rPr>
          <w:rFonts w:ascii="Times New Roman" w:eastAsia="Times New Roman" w:hAnsi="Times New Roman" w:cs="Times New Roman"/>
        </w:rPr>
      </w:pPr>
    </w:p>
    <w:p w14:paraId="50EE426C" w14:textId="1D3C63BC" w:rsidR="00D83BC4" w:rsidRPr="00D83BC4" w:rsidRDefault="00D83BC4" w:rsidP="00D83BC4">
      <w:pPr>
        <w:spacing w:line="360" w:lineRule="auto"/>
        <w:jc w:val="both"/>
        <w:rPr>
          <w:rFonts w:ascii="Times New Roman" w:eastAsia="Times New Roman" w:hAnsi="Times New Roman" w:cs="Times New Roman"/>
          <w:lang w:val="es-MX"/>
        </w:rPr>
      </w:pPr>
      <w:r w:rsidRPr="00D83BC4">
        <w:rPr>
          <w:rFonts w:ascii="Times New Roman" w:eastAsia="Times New Roman" w:hAnsi="Times New Roman" w:cs="Times New Roman"/>
        </w:rPr>
        <w:t xml:space="preserve">Los temas y requisitos de las Convocatorias definen quiénes pueden participar; sin </w:t>
      </w:r>
      <w:r w:rsidR="009A3502" w:rsidRPr="00D83BC4">
        <w:rPr>
          <w:rFonts w:ascii="Times New Roman" w:eastAsia="Times New Roman" w:hAnsi="Times New Roman" w:cs="Times New Roman"/>
        </w:rPr>
        <w:t>embargo,</w:t>
      </w:r>
      <w:r w:rsidRPr="00D83BC4">
        <w:rPr>
          <w:rFonts w:ascii="Times New Roman" w:eastAsia="Times New Roman" w:hAnsi="Times New Roman" w:cs="Times New Roman"/>
        </w:rPr>
        <w:t xml:space="preserve"> no será hasta que se haya cerrado la Convocatoria que se podrá tener certeza sobre la cuantificación de la Población Objetivo ya que no es posible de determinar ex ante, la cantidad de propuestas que serán beneficiadas por el programa. </w:t>
      </w:r>
    </w:p>
    <w:p w14:paraId="5F770B3D" w14:textId="77777777" w:rsidR="00D83BC4" w:rsidRPr="00D83BC4" w:rsidRDefault="00D83BC4" w:rsidP="00D83BC4">
      <w:pPr>
        <w:spacing w:line="360" w:lineRule="auto"/>
        <w:ind w:left="720"/>
        <w:contextualSpacing/>
        <w:jc w:val="both"/>
        <w:rPr>
          <w:rFonts w:ascii="Times New Roman" w:eastAsia="Times New Roman" w:hAnsi="Times New Roman" w:cs="Times New Roman"/>
        </w:rPr>
      </w:pPr>
    </w:p>
    <w:p w14:paraId="74F7137A" w14:textId="0DCB0893"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Las propuestas de todos los Fondos deben ser presentadas mediante el formato establecido por el Fondo específico a través del Sistema Informático de Administración de </w:t>
      </w:r>
      <w:r w:rsidR="009A3502" w:rsidRPr="00D83BC4">
        <w:rPr>
          <w:rFonts w:ascii="Times New Roman" w:eastAsia="Times New Roman" w:hAnsi="Times New Roman" w:cs="Times New Roman"/>
        </w:rPr>
        <w:t>Proyectos de</w:t>
      </w:r>
      <w:r w:rsidRPr="00D83BC4">
        <w:rPr>
          <w:rFonts w:ascii="Times New Roman" w:eastAsia="Times New Roman" w:hAnsi="Times New Roman" w:cs="Times New Roman"/>
        </w:rPr>
        <w:t xml:space="preserve"> </w:t>
      </w:r>
      <w:r w:rsidR="008922A3">
        <w:rPr>
          <w:rFonts w:ascii="Times New Roman" w:eastAsia="Times New Roman" w:hAnsi="Times New Roman" w:cs="Times New Roman"/>
        </w:rPr>
        <w:t>CONACYT</w:t>
      </w:r>
      <w:r w:rsidRPr="00D83BC4">
        <w:rPr>
          <w:rFonts w:ascii="Times New Roman" w:eastAsia="Times New Roman" w:hAnsi="Times New Roman" w:cs="Times New Roman"/>
        </w:rPr>
        <w:t xml:space="preserve"> en los períodos de tiempo determinados por la Convocatoria y están a disposición de todos los solicitantes que tengan su registro RENIECYT</w:t>
      </w:r>
      <w:r w:rsidRPr="00D83BC4">
        <w:rPr>
          <w:rFonts w:ascii="Times New Roman" w:eastAsia="Times New Roman" w:hAnsi="Times New Roman" w:cs="Times New Roman"/>
          <w:b/>
        </w:rPr>
        <w:t>.</w:t>
      </w:r>
    </w:p>
    <w:p w14:paraId="45B313E0" w14:textId="77777777" w:rsidR="00D83BC4" w:rsidRPr="00D83BC4" w:rsidRDefault="00D83BC4" w:rsidP="00D83BC4">
      <w:pPr>
        <w:spacing w:line="360" w:lineRule="auto"/>
        <w:jc w:val="both"/>
        <w:rPr>
          <w:rFonts w:ascii="Times New Roman" w:eastAsia="Times New Roman" w:hAnsi="Times New Roman" w:cs="Times New Roman"/>
        </w:rPr>
      </w:pPr>
    </w:p>
    <w:p w14:paraId="020E493A" w14:textId="2E743D9C" w:rsidR="00D83BC4" w:rsidRPr="008A47EB" w:rsidRDefault="00D83BC4" w:rsidP="002C2BC1">
      <w:pPr>
        <w:rPr>
          <w:rFonts w:ascii="Times New Roman" w:eastAsia="Times New Roman" w:hAnsi="Times New Roman" w:cs="Times New Roman"/>
          <w:b/>
          <w:bCs/>
          <w:color w:val="2F5496" w:themeColor="accent1" w:themeShade="BF"/>
        </w:rPr>
      </w:pPr>
      <w:bookmarkStart w:id="52" w:name="_Toc453749499"/>
      <w:r w:rsidRPr="008A47EB">
        <w:rPr>
          <w:rFonts w:ascii="Times New Roman" w:eastAsia="Times New Roman" w:hAnsi="Times New Roman" w:cs="Times New Roman"/>
          <w:b/>
          <w:bCs/>
          <w:color w:val="2F5496" w:themeColor="accent1" w:themeShade="BF"/>
        </w:rPr>
        <w:t>V.2.2.4</w:t>
      </w:r>
      <w:r w:rsidR="009458C6" w:rsidRPr="008A47EB">
        <w:rPr>
          <w:rFonts w:ascii="Times New Roman" w:eastAsia="Times New Roman" w:hAnsi="Times New Roman" w:cs="Times New Roman"/>
          <w:b/>
          <w:bCs/>
          <w:color w:val="2F5496" w:themeColor="accent1" w:themeShade="BF"/>
        </w:rPr>
        <w:t>.</w:t>
      </w:r>
      <w:r w:rsidRPr="008A47EB">
        <w:rPr>
          <w:rFonts w:ascii="Times New Roman" w:eastAsia="Times New Roman" w:hAnsi="Times New Roman" w:cs="Times New Roman"/>
          <w:b/>
          <w:bCs/>
          <w:color w:val="2F5496" w:themeColor="accent1" w:themeShade="BF"/>
        </w:rPr>
        <w:t xml:space="preserve"> Proceso de Evaluación.</w:t>
      </w:r>
      <w:bookmarkEnd w:id="52"/>
    </w:p>
    <w:p w14:paraId="3ECD122E" w14:textId="77777777" w:rsidR="00D83BC4" w:rsidRPr="00D83BC4" w:rsidRDefault="00D83BC4" w:rsidP="008A47EB">
      <w:pPr>
        <w:spacing w:before="100" w:beforeAutospacing="1"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El proceso de evaluación está sustentado en méritos de pertinencia y de calidad técnica de las propuestas para que atiendan las necesidades expresadas por los sectores en las convocatorias. </w:t>
      </w:r>
    </w:p>
    <w:p w14:paraId="5C3F4D58" w14:textId="77777777" w:rsidR="00D83BC4" w:rsidRPr="00D83BC4" w:rsidRDefault="00D83BC4" w:rsidP="00D83BC4">
      <w:pPr>
        <w:spacing w:line="360" w:lineRule="auto"/>
        <w:jc w:val="both"/>
        <w:rPr>
          <w:rFonts w:ascii="Times New Roman" w:eastAsia="Times New Roman" w:hAnsi="Times New Roman" w:cs="Times New Roman"/>
          <w:b/>
        </w:rPr>
      </w:pPr>
    </w:p>
    <w:p w14:paraId="0387129F" w14:textId="50CA7720"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lastRenderedPageBreak/>
        <w:t xml:space="preserve">Los formatos de evaluación son diseñados de manera congruente con los criterios de evaluación que se encuentran establecidos en las Convocatorias de los Fondos, y que son publicadas en el portal de </w:t>
      </w:r>
      <w:r w:rsidR="008922A3">
        <w:rPr>
          <w:rFonts w:ascii="Times New Roman" w:eastAsia="Times New Roman" w:hAnsi="Times New Roman" w:cs="Times New Roman"/>
        </w:rPr>
        <w:t>CONACYT</w:t>
      </w:r>
      <w:r w:rsidRPr="00D83BC4">
        <w:rPr>
          <w:rFonts w:ascii="Times New Roman" w:eastAsia="Times New Roman" w:hAnsi="Times New Roman" w:cs="Times New Roman"/>
        </w:rPr>
        <w:t xml:space="preserve">, lo cual permite </w:t>
      </w:r>
      <w:r w:rsidR="00273140" w:rsidRPr="00D83BC4">
        <w:rPr>
          <w:rFonts w:ascii="Times New Roman" w:eastAsia="Times New Roman" w:hAnsi="Times New Roman" w:cs="Times New Roman"/>
        </w:rPr>
        <w:t>el acceso</w:t>
      </w:r>
      <w:r w:rsidRPr="00D83BC4">
        <w:rPr>
          <w:rFonts w:ascii="Times New Roman" w:eastAsia="Times New Roman" w:hAnsi="Times New Roman" w:cs="Times New Roman"/>
        </w:rPr>
        <w:t xml:space="preserve"> a todos </w:t>
      </w:r>
      <w:r w:rsidR="00273140" w:rsidRPr="00D83BC4">
        <w:rPr>
          <w:rFonts w:ascii="Times New Roman" w:eastAsia="Times New Roman" w:hAnsi="Times New Roman" w:cs="Times New Roman"/>
        </w:rPr>
        <w:t>los interesados</w:t>
      </w:r>
      <w:r w:rsidRPr="00D83BC4">
        <w:rPr>
          <w:rFonts w:ascii="Times New Roman" w:eastAsia="Times New Roman" w:hAnsi="Times New Roman" w:cs="Times New Roman"/>
        </w:rPr>
        <w:t>.</w:t>
      </w:r>
    </w:p>
    <w:p w14:paraId="425FB467" w14:textId="77777777" w:rsidR="00273140" w:rsidRDefault="00273140" w:rsidP="00D83BC4">
      <w:pPr>
        <w:spacing w:line="360" w:lineRule="auto"/>
        <w:jc w:val="both"/>
        <w:rPr>
          <w:rFonts w:ascii="Times New Roman" w:eastAsia="Times New Roman" w:hAnsi="Times New Roman" w:cs="Times New Roman"/>
        </w:rPr>
      </w:pPr>
    </w:p>
    <w:p w14:paraId="6FE21595" w14:textId="3F98F542"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Debido a que el proceso de evaluación se realiza en el Sistema Informático de Administración de Proyectos de </w:t>
      </w:r>
      <w:r w:rsidR="008922A3">
        <w:rPr>
          <w:rFonts w:ascii="Times New Roman" w:eastAsia="Times New Roman" w:hAnsi="Times New Roman" w:cs="Times New Roman"/>
        </w:rPr>
        <w:t>CONACYT</w:t>
      </w:r>
      <w:r w:rsidRPr="00D83BC4">
        <w:rPr>
          <w:rFonts w:ascii="Times New Roman" w:eastAsia="Times New Roman" w:hAnsi="Times New Roman" w:cs="Times New Roman"/>
        </w:rPr>
        <w:t xml:space="preserve">, resulta un proceso estandarizado para todos los Fondos, de esta manera los evaluadores pueden visualizar y analizar las propuestas presentadas y valorar para cada una de ellas los criterios de evaluación. </w:t>
      </w:r>
    </w:p>
    <w:p w14:paraId="4F62DB55" w14:textId="77777777" w:rsidR="00D83BC4" w:rsidRPr="00D83BC4" w:rsidRDefault="00D83BC4" w:rsidP="00D83BC4">
      <w:pPr>
        <w:spacing w:line="360" w:lineRule="auto"/>
        <w:ind w:left="720"/>
        <w:contextualSpacing/>
        <w:jc w:val="both"/>
        <w:rPr>
          <w:rFonts w:ascii="Times New Roman" w:eastAsia="Times New Roman" w:hAnsi="Times New Roman" w:cs="Times New Roman"/>
        </w:rPr>
      </w:pPr>
    </w:p>
    <w:p w14:paraId="1E851C6E"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De acuerdo con las Reglas de Operación de los Fondos, los miembros de la Comisión de Evaluación podrán apoyarse en las opiniones de los evaluadores preferentemente acreditados en el RCEA.</w:t>
      </w:r>
    </w:p>
    <w:p w14:paraId="73A0658D" w14:textId="77777777" w:rsidR="00D83BC4" w:rsidRPr="00D83BC4" w:rsidRDefault="00D83BC4" w:rsidP="00D83BC4">
      <w:pPr>
        <w:spacing w:line="360" w:lineRule="auto"/>
        <w:jc w:val="both"/>
        <w:rPr>
          <w:rFonts w:ascii="Times New Roman" w:eastAsia="Times New Roman" w:hAnsi="Times New Roman" w:cs="Times New Roman"/>
        </w:rPr>
      </w:pPr>
    </w:p>
    <w:p w14:paraId="6B64B7E6"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La evaluación de las propuestas se establece en un dictamen definitivo de todas las solicitudes en el Sistema Informático de Administración de Proyectos como resultado de sus deliberaciones, en caso de considerarlo necesario la Comisión de Evaluación podrá proponer la conformación de Subcomisiones de Evaluación.</w:t>
      </w:r>
    </w:p>
    <w:p w14:paraId="11EFDF21" w14:textId="77777777" w:rsidR="00D83BC4" w:rsidRPr="00D83BC4" w:rsidRDefault="00D83BC4" w:rsidP="00D83BC4">
      <w:pPr>
        <w:spacing w:line="360" w:lineRule="auto"/>
        <w:jc w:val="both"/>
        <w:rPr>
          <w:rFonts w:ascii="Times New Roman" w:eastAsia="Times New Roman" w:hAnsi="Times New Roman" w:cs="Times New Roman"/>
        </w:rPr>
      </w:pPr>
    </w:p>
    <w:p w14:paraId="3A4FB01B" w14:textId="77777777" w:rsidR="00D83BC4" w:rsidRPr="00D83BC4" w:rsidRDefault="00D83BC4" w:rsidP="00D83BC4">
      <w:pPr>
        <w:spacing w:line="360" w:lineRule="auto"/>
        <w:jc w:val="both"/>
        <w:rPr>
          <w:rFonts w:ascii="Times New Roman" w:eastAsia="Times New Roman" w:hAnsi="Times New Roman" w:cs="Times New Roman"/>
          <w:strike/>
        </w:rPr>
      </w:pPr>
      <w:r w:rsidRPr="00D83BC4">
        <w:rPr>
          <w:rFonts w:ascii="Times New Roman" w:eastAsia="Times New Roman" w:hAnsi="Times New Roman" w:cs="Times New Roman"/>
        </w:rPr>
        <w:t>La evaluación garantiza la calidad de las propuestas que la Comisión de Evaluación recomienda al Comité Técnico y de Administración; de igual manera existen rechazos a propuestas que no cumplen con la metódica y rigurosa evaluación.</w:t>
      </w:r>
    </w:p>
    <w:p w14:paraId="1E23E1B7" w14:textId="77777777" w:rsidR="00D83BC4" w:rsidRPr="00D83BC4" w:rsidRDefault="00D83BC4" w:rsidP="00D83BC4">
      <w:pPr>
        <w:spacing w:line="360" w:lineRule="auto"/>
        <w:ind w:left="720"/>
        <w:contextualSpacing/>
        <w:jc w:val="both"/>
        <w:rPr>
          <w:rFonts w:ascii="Times New Roman" w:eastAsia="Times New Roman" w:hAnsi="Times New Roman" w:cs="Times New Roman"/>
        </w:rPr>
      </w:pPr>
    </w:p>
    <w:p w14:paraId="6196DE27" w14:textId="043A44F1"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Los resultados de esta última evaluación se presentan al Comité Técnico y de Administración del Fondo Sectorial para su consideración y final aprobación en una reunión formal, en la </w:t>
      </w:r>
      <w:r w:rsidR="00497684" w:rsidRPr="00D83BC4">
        <w:rPr>
          <w:rFonts w:ascii="Times New Roman" w:eastAsia="Times New Roman" w:hAnsi="Times New Roman" w:cs="Times New Roman"/>
        </w:rPr>
        <w:t>que se</w:t>
      </w:r>
      <w:r w:rsidRPr="00D83BC4">
        <w:rPr>
          <w:rFonts w:ascii="Times New Roman" w:eastAsia="Times New Roman" w:hAnsi="Times New Roman" w:cs="Times New Roman"/>
        </w:rPr>
        <w:t xml:space="preserve"> analiza y </w:t>
      </w:r>
      <w:r w:rsidR="00497684" w:rsidRPr="00D83BC4">
        <w:rPr>
          <w:rFonts w:ascii="Times New Roman" w:eastAsia="Times New Roman" w:hAnsi="Times New Roman" w:cs="Times New Roman"/>
        </w:rPr>
        <w:t>determina de</w:t>
      </w:r>
      <w:r w:rsidRPr="00D83BC4">
        <w:rPr>
          <w:rFonts w:ascii="Times New Roman" w:eastAsia="Times New Roman" w:hAnsi="Times New Roman" w:cs="Times New Roman"/>
        </w:rPr>
        <w:t xml:space="preserve"> manera </w:t>
      </w:r>
      <w:r w:rsidR="00497684" w:rsidRPr="00D83BC4">
        <w:rPr>
          <w:rFonts w:ascii="Times New Roman" w:eastAsia="Times New Roman" w:hAnsi="Times New Roman" w:cs="Times New Roman"/>
        </w:rPr>
        <w:t>colegiada, los</w:t>
      </w:r>
      <w:r w:rsidRPr="00D83BC4">
        <w:rPr>
          <w:rFonts w:ascii="Times New Roman" w:eastAsia="Times New Roman" w:hAnsi="Times New Roman" w:cs="Times New Roman"/>
        </w:rPr>
        <w:t xml:space="preserve"> proyectos que serán financiados, tomando en cuenta los resultados de las evaluaciones, los beneficios para el sector y los recursos disponibles.  </w:t>
      </w:r>
    </w:p>
    <w:p w14:paraId="73D5729B" w14:textId="77777777" w:rsidR="00D83BC4" w:rsidRPr="00D83BC4" w:rsidRDefault="00D83BC4" w:rsidP="00D83BC4">
      <w:pPr>
        <w:spacing w:line="360" w:lineRule="auto"/>
        <w:jc w:val="both"/>
        <w:rPr>
          <w:rFonts w:ascii="Times New Roman" w:eastAsia="Times New Roman" w:hAnsi="Times New Roman" w:cs="Times New Roman"/>
        </w:rPr>
      </w:pPr>
    </w:p>
    <w:p w14:paraId="5E9A887C" w14:textId="4B0C2423"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lastRenderedPageBreak/>
        <w:t xml:space="preserve">Finalmente se publica la relación de proyectos acreedores a financiamiento por parte del Fondo Sectorial en las páginas del </w:t>
      </w:r>
      <w:r w:rsidR="008922A3">
        <w:rPr>
          <w:rFonts w:ascii="Times New Roman" w:eastAsia="Times New Roman" w:hAnsi="Times New Roman" w:cs="Times New Roman"/>
        </w:rPr>
        <w:t>CONACYT</w:t>
      </w:r>
      <w:r w:rsidRPr="00497684">
        <w:rPr>
          <w:rFonts w:ascii="Times New Roman" w:eastAsia="Times New Roman" w:hAnsi="Times New Roman" w:cs="Times New Roman"/>
          <w:color w:val="4472C4" w:themeColor="accent1"/>
        </w:rPr>
        <w:t>.(</w:t>
      </w:r>
      <w:hyperlink r:id="rId32" w:history="1">
        <w:r w:rsidR="0053360A" w:rsidRPr="003D3505">
          <w:rPr>
            <w:rStyle w:val="Hipervnculo"/>
            <w:rFonts w:ascii="Times New Roman" w:eastAsia="Times New Roman" w:hAnsi="Times New Roman" w:cs="Times New Roman"/>
          </w:rPr>
          <w:t xml:space="preserve">http://www.conacyt.mx/index.php/el-conacyt/convocatorias-y-resultados-conacyt </w:t>
        </w:r>
      </w:hyperlink>
      <w:r w:rsidRPr="00D83BC4">
        <w:rPr>
          <w:rFonts w:ascii="Times New Roman" w:eastAsia="Times New Roman" w:hAnsi="Times New Roman" w:cs="Times New Roman"/>
        </w:rPr>
        <w:t>).</w:t>
      </w:r>
    </w:p>
    <w:p w14:paraId="6972F7B4" w14:textId="77777777" w:rsidR="00D83BC4" w:rsidRPr="00D83BC4" w:rsidRDefault="00D83BC4" w:rsidP="00D83BC4">
      <w:pPr>
        <w:spacing w:line="360" w:lineRule="auto"/>
        <w:jc w:val="both"/>
        <w:rPr>
          <w:rFonts w:ascii="Times New Roman" w:eastAsia="Times New Roman" w:hAnsi="Times New Roman" w:cs="Times New Roman"/>
        </w:rPr>
      </w:pPr>
    </w:p>
    <w:p w14:paraId="7A959B7D" w14:textId="72A1E510" w:rsid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Es importante destacar que la sujeción de los apoyos a los recursos disponibles resulta en que muchas propuestas con excelente calidad académica y promisoria de beneficios para el sector </w:t>
      </w:r>
      <w:proofErr w:type="gramStart"/>
      <w:r w:rsidRPr="00D83BC4">
        <w:rPr>
          <w:rFonts w:ascii="Times New Roman" w:eastAsia="Times New Roman" w:hAnsi="Times New Roman" w:cs="Times New Roman"/>
        </w:rPr>
        <w:t>y</w:t>
      </w:r>
      <w:proofErr w:type="gramEnd"/>
      <w:r w:rsidRPr="00D83BC4">
        <w:rPr>
          <w:rFonts w:ascii="Times New Roman" w:eastAsia="Times New Roman" w:hAnsi="Times New Roman" w:cs="Times New Roman"/>
        </w:rPr>
        <w:t xml:space="preserve"> por ende, a la </w:t>
      </w:r>
      <w:r w:rsidR="00F031A6" w:rsidRPr="00D83BC4">
        <w:rPr>
          <w:rFonts w:ascii="Times New Roman" w:eastAsia="Times New Roman" w:hAnsi="Times New Roman" w:cs="Times New Roman"/>
        </w:rPr>
        <w:t>sociedad, queden</w:t>
      </w:r>
      <w:r w:rsidRPr="00D83BC4">
        <w:rPr>
          <w:rFonts w:ascii="Times New Roman" w:eastAsia="Times New Roman" w:hAnsi="Times New Roman" w:cs="Times New Roman"/>
        </w:rPr>
        <w:t xml:space="preserve"> sin apoyo. </w:t>
      </w:r>
    </w:p>
    <w:p w14:paraId="47DD98BD" w14:textId="77777777" w:rsidR="00F031A6" w:rsidRPr="00D83BC4" w:rsidRDefault="00F031A6" w:rsidP="00D83BC4">
      <w:pPr>
        <w:spacing w:line="360" w:lineRule="auto"/>
        <w:jc w:val="both"/>
        <w:rPr>
          <w:rFonts w:ascii="Times New Roman" w:eastAsia="Times New Roman" w:hAnsi="Times New Roman" w:cs="Times New Roman"/>
        </w:rPr>
      </w:pPr>
    </w:p>
    <w:p w14:paraId="587B0837" w14:textId="200D06AC" w:rsidR="00D83BC4" w:rsidRPr="008A47EB" w:rsidRDefault="00D83BC4" w:rsidP="002C2BC1">
      <w:pPr>
        <w:rPr>
          <w:rFonts w:ascii="Times New Roman" w:eastAsia="Times New Roman" w:hAnsi="Times New Roman" w:cs="Times New Roman"/>
          <w:b/>
          <w:bCs/>
          <w:color w:val="2F5496" w:themeColor="accent1" w:themeShade="BF"/>
        </w:rPr>
      </w:pPr>
      <w:bookmarkStart w:id="53" w:name="_Toc453749500"/>
      <w:r w:rsidRPr="008A47EB">
        <w:rPr>
          <w:rFonts w:ascii="Times New Roman" w:eastAsia="Times New Roman" w:hAnsi="Times New Roman" w:cs="Times New Roman"/>
          <w:b/>
          <w:bCs/>
          <w:color w:val="2F5496" w:themeColor="accent1" w:themeShade="BF"/>
        </w:rPr>
        <w:t>V.2.2.5</w:t>
      </w:r>
      <w:r w:rsidR="009458C6" w:rsidRPr="008A47EB">
        <w:rPr>
          <w:rFonts w:ascii="Times New Roman" w:eastAsia="Times New Roman" w:hAnsi="Times New Roman" w:cs="Times New Roman"/>
          <w:b/>
          <w:bCs/>
          <w:color w:val="2F5496" w:themeColor="accent1" w:themeShade="BF"/>
        </w:rPr>
        <w:t>.</w:t>
      </w:r>
      <w:r w:rsidRPr="008A47EB">
        <w:rPr>
          <w:rFonts w:ascii="Times New Roman" w:eastAsia="Times New Roman" w:hAnsi="Times New Roman" w:cs="Times New Roman"/>
          <w:b/>
          <w:bCs/>
          <w:color w:val="2F5496" w:themeColor="accent1" w:themeShade="BF"/>
        </w:rPr>
        <w:t xml:space="preserve"> Proceso de Formalización</w:t>
      </w:r>
      <w:bookmarkEnd w:id="53"/>
    </w:p>
    <w:p w14:paraId="589E6E83" w14:textId="19CCFB6C" w:rsidR="00D83BC4" w:rsidRPr="00D83BC4" w:rsidRDefault="00D83BC4" w:rsidP="008A47EB">
      <w:pPr>
        <w:spacing w:before="100" w:beforeAutospacing="1"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Después de la publicación de resultados, comienza el proceso de formalización de los proyectos aprobados por el Comité Técnico y de Administración, en las convocatorias de los Fondos se establecen los plazos y lineamientos para llevar a cabo la formalización mediante el modelo de los Convenios de Asignación de Recursos (CAR) debidamente autorizados por la Unidad Jurídica de </w:t>
      </w:r>
      <w:r w:rsidR="008922A3">
        <w:rPr>
          <w:rFonts w:ascii="Times New Roman" w:eastAsia="Times New Roman" w:hAnsi="Times New Roman" w:cs="Times New Roman"/>
        </w:rPr>
        <w:t>CONACYT</w:t>
      </w:r>
      <w:r w:rsidRPr="00D83BC4">
        <w:rPr>
          <w:rFonts w:ascii="Times New Roman" w:eastAsia="Times New Roman" w:hAnsi="Times New Roman" w:cs="Times New Roman"/>
        </w:rPr>
        <w:t>.</w:t>
      </w:r>
    </w:p>
    <w:p w14:paraId="51027C12" w14:textId="77777777" w:rsidR="00D83BC4" w:rsidRPr="00D83BC4" w:rsidRDefault="00D83BC4" w:rsidP="00D83BC4">
      <w:pPr>
        <w:spacing w:line="360" w:lineRule="auto"/>
        <w:jc w:val="both"/>
        <w:rPr>
          <w:rFonts w:ascii="Times New Roman" w:eastAsia="Times New Roman" w:hAnsi="Times New Roman" w:cs="Times New Roman"/>
        </w:rPr>
      </w:pPr>
    </w:p>
    <w:p w14:paraId="675E9F45" w14:textId="1EDBF1F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El Sistema Informático de Administración de Proyectos de </w:t>
      </w:r>
      <w:r w:rsidR="008922A3">
        <w:rPr>
          <w:rFonts w:ascii="Times New Roman" w:eastAsia="Times New Roman" w:hAnsi="Times New Roman" w:cs="Times New Roman"/>
        </w:rPr>
        <w:t>CONACYT</w:t>
      </w:r>
      <w:r w:rsidRPr="00D83BC4">
        <w:rPr>
          <w:rFonts w:ascii="Times New Roman" w:eastAsia="Times New Roman" w:hAnsi="Times New Roman" w:cs="Times New Roman"/>
        </w:rPr>
        <w:t xml:space="preserve"> pone a disposición de los Sujetos de Apoyo, de las Secretarías Técnica y Administrativa del Fondo y de los Responsables Técnico y Administrativo de los proyectos apoyados, el Convenio de Asignación de Recursos, para el visto bueno.</w:t>
      </w:r>
    </w:p>
    <w:p w14:paraId="34110703" w14:textId="77777777" w:rsidR="00D83BC4" w:rsidRPr="00D83BC4" w:rsidRDefault="00D83BC4" w:rsidP="00D83BC4">
      <w:pPr>
        <w:spacing w:line="360" w:lineRule="auto"/>
        <w:jc w:val="both"/>
        <w:rPr>
          <w:rFonts w:ascii="Times New Roman" w:eastAsia="Times New Roman" w:hAnsi="Times New Roman" w:cs="Times New Roman"/>
        </w:rPr>
      </w:pPr>
    </w:p>
    <w:p w14:paraId="0C46DBFA"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Cuando ya se ha obtenido el visto bueno de los involucrados en el proceso, el Convenio es liberado para su firma. Con la firma del CAR, los Sujetos de Apoyo se comprometen a entregar los productos establecidos.</w:t>
      </w:r>
    </w:p>
    <w:p w14:paraId="1571D027" w14:textId="77777777" w:rsidR="00D83BC4" w:rsidRPr="00D83BC4" w:rsidRDefault="00D83BC4" w:rsidP="00D83BC4">
      <w:pPr>
        <w:spacing w:line="360" w:lineRule="auto"/>
        <w:jc w:val="both"/>
        <w:rPr>
          <w:rFonts w:ascii="Times New Roman" w:eastAsia="Times New Roman" w:hAnsi="Times New Roman" w:cs="Times New Roman"/>
        </w:rPr>
      </w:pPr>
    </w:p>
    <w:p w14:paraId="4A4B22D6"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El Convenio señala claramente las sanciones en caso de incumplimiento por parte de los Sujetos de Apoyo. Todo el proceso es realizado mediante el Sistema Informático de Administración de Proyectos.</w:t>
      </w:r>
    </w:p>
    <w:p w14:paraId="3F844E33" w14:textId="7A538DBE" w:rsidR="00D83BC4" w:rsidRDefault="00D83BC4" w:rsidP="00D83BC4">
      <w:pPr>
        <w:spacing w:line="360" w:lineRule="auto"/>
        <w:jc w:val="both"/>
        <w:rPr>
          <w:rFonts w:ascii="Times New Roman" w:eastAsia="Times New Roman" w:hAnsi="Times New Roman" w:cs="Times New Roman"/>
          <w:b/>
          <w:color w:val="2F5496" w:themeColor="accent1" w:themeShade="BF"/>
        </w:rPr>
      </w:pPr>
    </w:p>
    <w:p w14:paraId="7271B2D3" w14:textId="0EE62BC9" w:rsidR="008A47EB" w:rsidRDefault="008A47EB" w:rsidP="00D83BC4">
      <w:pPr>
        <w:spacing w:line="360" w:lineRule="auto"/>
        <w:jc w:val="both"/>
        <w:rPr>
          <w:rFonts w:ascii="Times New Roman" w:eastAsia="Times New Roman" w:hAnsi="Times New Roman" w:cs="Times New Roman"/>
          <w:b/>
          <w:color w:val="2F5496" w:themeColor="accent1" w:themeShade="BF"/>
        </w:rPr>
      </w:pPr>
    </w:p>
    <w:p w14:paraId="2F2A7D7C" w14:textId="77777777" w:rsidR="008A47EB" w:rsidRPr="008A47EB" w:rsidRDefault="008A47EB" w:rsidP="00D83BC4">
      <w:pPr>
        <w:spacing w:line="360" w:lineRule="auto"/>
        <w:jc w:val="both"/>
        <w:rPr>
          <w:rFonts w:ascii="Times New Roman" w:eastAsia="Times New Roman" w:hAnsi="Times New Roman" w:cs="Times New Roman"/>
          <w:b/>
          <w:color w:val="2F5496" w:themeColor="accent1" w:themeShade="BF"/>
        </w:rPr>
      </w:pPr>
    </w:p>
    <w:p w14:paraId="51B8C7ED" w14:textId="37FA275C" w:rsidR="00D83BC4" w:rsidRPr="008A47EB" w:rsidRDefault="00D83BC4" w:rsidP="002C2BC1">
      <w:pPr>
        <w:rPr>
          <w:rFonts w:ascii="Times New Roman" w:eastAsia="Times New Roman" w:hAnsi="Times New Roman" w:cs="Times New Roman"/>
          <w:b/>
          <w:bCs/>
          <w:color w:val="2F5496" w:themeColor="accent1" w:themeShade="BF"/>
        </w:rPr>
      </w:pPr>
      <w:bookmarkStart w:id="54" w:name="_Toc453749501"/>
      <w:r w:rsidRPr="008A47EB">
        <w:rPr>
          <w:rFonts w:ascii="Times New Roman" w:eastAsia="Times New Roman" w:hAnsi="Times New Roman" w:cs="Times New Roman"/>
          <w:b/>
          <w:bCs/>
          <w:color w:val="2F5496" w:themeColor="accent1" w:themeShade="BF"/>
        </w:rPr>
        <w:lastRenderedPageBreak/>
        <w:t>V.2.2.6</w:t>
      </w:r>
      <w:r w:rsidR="009458C6" w:rsidRPr="008A47EB">
        <w:rPr>
          <w:rFonts w:ascii="Times New Roman" w:eastAsia="Times New Roman" w:hAnsi="Times New Roman" w:cs="Times New Roman"/>
          <w:b/>
          <w:bCs/>
          <w:color w:val="2F5496" w:themeColor="accent1" w:themeShade="BF"/>
        </w:rPr>
        <w:t>.</w:t>
      </w:r>
      <w:r w:rsidRPr="008A47EB">
        <w:rPr>
          <w:rFonts w:ascii="Times New Roman" w:eastAsia="Times New Roman" w:hAnsi="Times New Roman" w:cs="Times New Roman"/>
          <w:b/>
          <w:bCs/>
          <w:color w:val="2F5496" w:themeColor="accent1" w:themeShade="BF"/>
        </w:rPr>
        <w:t xml:space="preserve"> Seguimiento de los Proyectos</w:t>
      </w:r>
      <w:bookmarkEnd w:id="54"/>
    </w:p>
    <w:p w14:paraId="3B3606D4" w14:textId="77777777" w:rsidR="00D83BC4" w:rsidRPr="00D83BC4" w:rsidRDefault="00D83BC4" w:rsidP="008A47EB">
      <w:pPr>
        <w:spacing w:before="100" w:beforeAutospacing="1"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De acuerdo con la Convocatoria, a la firma de los Convenios de Asignación de Recursos se entrega la primera ministración, previa apertura y activación de una cuenta de cheques exclusiva para el proyecto y el envío de la factura o recibo institucional del monto acordado para la ministración la Convocatoria también marca el lapso en que debe hacerse el trámite. </w:t>
      </w:r>
    </w:p>
    <w:p w14:paraId="22B0CFC7" w14:textId="77777777" w:rsidR="00D83BC4" w:rsidRPr="00D83BC4" w:rsidRDefault="00D83BC4" w:rsidP="00D83BC4">
      <w:pPr>
        <w:spacing w:line="360" w:lineRule="auto"/>
        <w:jc w:val="both"/>
        <w:rPr>
          <w:rFonts w:ascii="Times New Roman" w:eastAsia="Times New Roman" w:hAnsi="Times New Roman" w:cs="Times New Roman"/>
        </w:rPr>
      </w:pPr>
    </w:p>
    <w:p w14:paraId="741FDA2F" w14:textId="05CE693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El seguimiento financiero está a cargo de la Secretaría Administrativa del Fondo. El seguimiento técnico de </w:t>
      </w:r>
      <w:r w:rsidR="0071214D" w:rsidRPr="00D83BC4">
        <w:rPr>
          <w:rFonts w:ascii="Times New Roman" w:eastAsia="Times New Roman" w:hAnsi="Times New Roman" w:cs="Times New Roman"/>
        </w:rPr>
        <w:t>las actividades</w:t>
      </w:r>
      <w:r w:rsidRPr="00D83BC4">
        <w:rPr>
          <w:rFonts w:ascii="Times New Roman" w:eastAsia="Times New Roman" w:hAnsi="Times New Roman" w:cs="Times New Roman"/>
        </w:rPr>
        <w:t xml:space="preserve"> del </w:t>
      </w:r>
      <w:r w:rsidR="0071214D" w:rsidRPr="00D83BC4">
        <w:rPr>
          <w:rFonts w:ascii="Times New Roman" w:eastAsia="Times New Roman" w:hAnsi="Times New Roman" w:cs="Times New Roman"/>
        </w:rPr>
        <w:t>proyecto, a</w:t>
      </w:r>
      <w:r w:rsidRPr="00D83BC4">
        <w:rPr>
          <w:rFonts w:ascii="Times New Roman" w:eastAsia="Times New Roman" w:hAnsi="Times New Roman" w:cs="Times New Roman"/>
        </w:rPr>
        <w:t xml:space="preserve"> cargo del Secretario </w:t>
      </w:r>
      <w:r w:rsidR="0071214D" w:rsidRPr="00D83BC4">
        <w:rPr>
          <w:rFonts w:ascii="Times New Roman" w:eastAsia="Times New Roman" w:hAnsi="Times New Roman" w:cs="Times New Roman"/>
        </w:rPr>
        <w:t>Técnico, inicia</w:t>
      </w:r>
      <w:r w:rsidRPr="00D83BC4">
        <w:rPr>
          <w:rFonts w:ascii="Times New Roman" w:eastAsia="Times New Roman" w:hAnsi="Times New Roman" w:cs="Times New Roman"/>
        </w:rPr>
        <w:t xml:space="preserve"> a partir de que se realiza la radicación de recursos al Sujeto de Apoyo, y continúa durante el desarrollo del </w:t>
      </w:r>
      <w:r w:rsidR="0071214D" w:rsidRPr="00D83BC4">
        <w:rPr>
          <w:rFonts w:ascii="Times New Roman" w:eastAsia="Times New Roman" w:hAnsi="Times New Roman" w:cs="Times New Roman"/>
        </w:rPr>
        <w:t>proyecto mediante</w:t>
      </w:r>
      <w:r w:rsidRPr="00D83BC4">
        <w:rPr>
          <w:rFonts w:ascii="Times New Roman" w:eastAsia="Times New Roman" w:hAnsi="Times New Roman" w:cs="Times New Roman"/>
        </w:rPr>
        <w:t xml:space="preserve"> la evaluación de los informes técnicos que emite el Responsable Técnico al final de cada etapa calendarizada, la evaluación es realizada por miembros del RCEA. </w:t>
      </w:r>
    </w:p>
    <w:p w14:paraId="05023590" w14:textId="77777777" w:rsidR="00D83BC4" w:rsidRPr="00D83BC4" w:rsidRDefault="00D83BC4" w:rsidP="00D83BC4">
      <w:pPr>
        <w:spacing w:line="360" w:lineRule="auto"/>
        <w:jc w:val="both"/>
        <w:rPr>
          <w:rFonts w:ascii="Times New Roman" w:eastAsia="Times New Roman" w:hAnsi="Times New Roman" w:cs="Times New Roman"/>
        </w:rPr>
      </w:pPr>
    </w:p>
    <w:p w14:paraId="40CD8BC9" w14:textId="285333FB"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Con los resultados de la evaluación de seguimiento, la Secretaría Técnica hace del conocimiento del Responsable </w:t>
      </w:r>
      <w:r w:rsidR="00E507AB" w:rsidRPr="00D83BC4">
        <w:rPr>
          <w:rFonts w:ascii="Times New Roman" w:eastAsia="Times New Roman" w:hAnsi="Times New Roman" w:cs="Times New Roman"/>
        </w:rPr>
        <w:t>Técnico las</w:t>
      </w:r>
      <w:r w:rsidRPr="00D83BC4">
        <w:rPr>
          <w:rFonts w:ascii="Times New Roman" w:eastAsia="Times New Roman" w:hAnsi="Times New Roman" w:cs="Times New Roman"/>
        </w:rPr>
        <w:t xml:space="preserve"> recomendaciones realizadas al Informe Técnico </w:t>
      </w:r>
      <w:r w:rsidR="00E507AB" w:rsidRPr="00D83BC4">
        <w:rPr>
          <w:rFonts w:ascii="Times New Roman" w:eastAsia="Times New Roman" w:hAnsi="Times New Roman" w:cs="Times New Roman"/>
        </w:rPr>
        <w:t>presentado, las</w:t>
      </w:r>
      <w:r w:rsidRPr="00D83BC4">
        <w:rPr>
          <w:rFonts w:ascii="Times New Roman" w:eastAsia="Times New Roman" w:hAnsi="Times New Roman" w:cs="Times New Roman"/>
        </w:rPr>
        <w:t xml:space="preserve"> cuales pueden variar el estatus del proyecto en un rango que oscila entre mantener su continuidad hasta la cancelación del mismo. </w:t>
      </w:r>
    </w:p>
    <w:p w14:paraId="287879E2" w14:textId="77777777" w:rsidR="00D83BC4" w:rsidRPr="00D83BC4" w:rsidRDefault="00D83BC4" w:rsidP="00D83BC4">
      <w:pPr>
        <w:spacing w:line="360" w:lineRule="auto"/>
        <w:jc w:val="both"/>
        <w:rPr>
          <w:rFonts w:ascii="Times New Roman" w:eastAsia="Times New Roman" w:hAnsi="Times New Roman" w:cs="Times New Roman"/>
        </w:rPr>
      </w:pPr>
    </w:p>
    <w:p w14:paraId="30E8A11A"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De igual manera, el Responsable Administrativo del proyecto presentará el Informe Financiero para dar cuenta del ejercicio de los recursos, los dictámenes de la revisión financiera pueden variar también desde mantener la continuidad del apoyo hasta la cancelación del proyecto. </w:t>
      </w:r>
    </w:p>
    <w:p w14:paraId="1AE4D66D" w14:textId="77777777" w:rsidR="00E507AB" w:rsidRDefault="00E507AB" w:rsidP="00D83BC4">
      <w:pPr>
        <w:spacing w:line="360" w:lineRule="auto"/>
        <w:jc w:val="both"/>
        <w:rPr>
          <w:rFonts w:ascii="Times New Roman" w:eastAsia="Times New Roman" w:hAnsi="Times New Roman" w:cs="Times New Roman"/>
        </w:rPr>
      </w:pPr>
    </w:p>
    <w:p w14:paraId="67793FA7" w14:textId="1AFDEFCA"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Los motivos para llevar a cabo la cancelación de los proyectos están establecidos en los Convenios de Asignación de Recursos. Cuando ambos informes son evaluados favorablemente, se otorga la siguiente ministración y continúa el desarrollo del proyecto.</w:t>
      </w:r>
    </w:p>
    <w:p w14:paraId="318BE85F" w14:textId="77777777" w:rsidR="00D83BC4" w:rsidRPr="00D83BC4" w:rsidRDefault="00D83BC4" w:rsidP="00D83BC4">
      <w:pPr>
        <w:spacing w:line="360" w:lineRule="auto"/>
        <w:jc w:val="both"/>
        <w:rPr>
          <w:rFonts w:ascii="Times New Roman" w:eastAsia="Times New Roman" w:hAnsi="Times New Roman" w:cs="Times New Roman"/>
        </w:rPr>
      </w:pPr>
    </w:p>
    <w:p w14:paraId="5F5E6445"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Los Secretarios Técnicos atienden las evaluaciones de los proyectos vigentes de manera continua para verificar el avance de las actividades comprometidas, además de atender solicitudes como cambios de </w:t>
      </w:r>
      <w:r w:rsidRPr="00D83BC4">
        <w:rPr>
          <w:rFonts w:ascii="Times New Roman" w:eastAsia="Times New Roman" w:hAnsi="Times New Roman" w:cs="Times New Roman"/>
        </w:rPr>
        <w:lastRenderedPageBreak/>
        <w:t>partida presupuestal, registro o baja de asistentes, prórrogas, y otras necesidades que a lo largo del proyecto.</w:t>
      </w:r>
    </w:p>
    <w:p w14:paraId="1175C0E7" w14:textId="4AF34233" w:rsidR="00D83BC4" w:rsidRPr="008A47EB" w:rsidRDefault="00D83BC4" w:rsidP="008A47EB">
      <w:pPr>
        <w:spacing w:before="100" w:beforeAutospacing="1"/>
        <w:rPr>
          <w:rFonts w:ascii="Times New Roman" w:eastAsia="Times New Roman" w:hAnsi="Times New Roman" w:cs="Times New Roman"/>
          <w:b/>
          <w:bCs/>
          <w:color w:val="2F5496" w:themeColor="accent1" w:themeShade="BF"/>
        </w:rPr>
      </w:pPr>
      <w:bookmarkStart w:id="55" w:name="_Toc453749502"/>
      <w:r w:rsidRPr="008A47EB">
        <w:rPr>
          <w:rFonts w:ascii="Times New Roman" w:eastAsia="Times New Roman" w:hAnsi="Times New Roman" w:cs="Times New Roman"/>
          <w:b/>
          <w:bCs/>
          <w:color w:val="2F5496" w:themeColor="accent1" w:themeShade="BF"/>
        </w:rPr>
        <w:t>V.2.2.7</w:t>
      </w:r>
      <w:r w:rsidR="009458C6" w:rsidRPr="008A47EB">
        <w:rPr>
          <w:rFonts w:ascii="Times New Roman" w:eastAsia="Times New Roman" w:hAnsi="Times New Roman" w:cs="Times New Roman"/>
          <w:b/>
          <w:bCs/>
          <w:color w:val="2F5496" w:themeColor="accent1" w:themeShade="BF"/>
        </w:rPr>
        <w:t>.</w:t>
      </w:r>
      <w:r w:rsidRPr="008A47EB">
        <w:rPr>
          <w:rFonts w:ascii="Times New Roman" w:eastAsia="Times New Roman" w:hAnsi="Times New Roman" w:cs="Times New Roman"/>
          <w:b/>
          <w:bCs/>
          <w:color w:val="2F5496" w:themeColor="accent1" w:themeShade="BF"/>
        </w:rPr>
        <w:t xml:space="preserve"> Cierre Técnico y Financiero del Proyecto y Entrega de Productos al Sector.</w:t>
      </w:r>
      <w:bookmarkEnd w:id="55"/>
    </w:p>
    <w:p w14:paraId="68380253" w14:textId="77777777" w:rsidR="00D83BC4" w:rsidRPr="00D83BC4" w:rsidRDefault="00D83BC4" w:rsidP="008A47EB">
      <w:pPr>
        <w:spacing w:before="100" w:beforeAutospacing="1"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Cuando se han cumplido satisfactoriamente todas las etapas del proyecto, tanto técnicas como financieras se procede al Cierre Técnico y Financiero, los productos son entregados al sector y deberán ser evaluados por éste de acuerdo con el beneficio que pudieran reportar en el tiempo. </w:t>
      </w:r>
    </w:p>
    <w:p w14:paraId="47BE0C15" w14:textId="77777777" w:rsidR="00D83BC4" w:rsidRPr="00D83BC4" w:rsidRDefault="00D83BC4" w:rsidP="00D83BC4">
      <w:pPr>
        <w:spacing w:line="360" w:lineRule="auto"/>
        <w:jc w:val="both"/>
        <w:rPr>
          <w:rFonts w:ascii="Times New Roman" w:eastAsia="Times New Roman" w:hAnsi="Times New Roman" w:cs="Times New Roman"/>
        </w:rPr>
      </w:pPr>
    </w:p>
    <w:p w14:paraId="60E26AFA" w14:textId="7B3AA854"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Una vez concluidos los proyectos, el sector, a través del Secretario Administrativo informará si los productos de los proyectos concluidos y entregados contribuyeron a resolver las necesidades y problemáticas planteadas por el </w:t>
      </w:r>
      <w:r w:rsidR="008F48AA" w:rsidRPr="00D83BC4">
        <w:rPr>
          <w:rFonts w:ascii="Times New Roman" w:eastAsia="Times New Roman" w:hAnsi="Times New Roman" w:cs="Times New Roman"/>
        </w:rPr>
        <w:t>sector y</w:t>
      </w:r>
      <w:r w:rsidRPr="00D83BC4">
        <w:rPr>
          <w:rFonts w:ascii="Times New Roman" w:eastAsia="Times New Roman" w:hAnsi="Times New Roman" w:cs="Times New Roman"/>
        </w:rPr>
        <w:t xml:space="preserve"> que dieron origen a las demandas publicadas en las convocatorias, los mecanismos de evaluación serán establecidos por el sector, la figura </w:t>
      </w:r>
      <w:r w:rsidR="008C4E0F">
        <w:rPr>
          <w:rFonts w:ascii="Times New Roman" w:eastAsia="Times New Roman" w:hAnsi="Times New Roman" w:cs="Times New Roman"/>
        </w:rPr>
        <w:t>5</w:t>
      </w:r>
      <w:r w:rsidRPr="00D83BC4">
        <w:rPr>
          <w:rFonts w:ascii="Times New Roman" w:eastAsia="Times New Roman" w:hAnsi="Times New Roman" w:cs="Times New Roman"/>
        </w:rPr>
        <w:t xml:space="preserve"> describe de manera esquemática el proceso de convocatoria:</w:t>
      </w:r>
    </w:p>
    <w:p w14:paraId="692EE17E" w14:textId="77777777" w:rsidR="00D83BC4" w:rsidRPr="00D83BC4" w:rsidRDefault="00D83BC4" w:rsidP="00D83BC4">
      <w:pPr>
        <w:spacing w:line="360" w:lineRule="auto"/>
        <w:jc w:val="both"/>
        <w:rPr>
          <w:rFonts w:ascii="Times New Roman" w:eastAsia="Times New Roman" w:hAnsi="Times New Roman" w:cs="Times New Roman"/>
          <w:b/>
        </w:rPr>
      </w:pPr>
    </w:p>
    <w:p w14:paraId="468D9576" w14:textId="37DE8487" w:rsidR="00D83BC4" w:rsidRPr="00B25602" w:rsidRDefault="00D83BC4" w:rsidP="008C4E0F">
      <w:pPr>
        <w:spacing w:line="360" w:lineRule="auto"/>
        <w:jc w:val="center"/>
        <w:rPr>
          <w:rFonts w:ascii="Times New Roman" w:eastAsia="Times New Roman" w:hAnsi="Times New Roman" w:cs="Times New Roman"/>
          <w:b/>
          <w:color w:val="323E4F" w:themeColor="text2" w:themeShade="BF"/>
        </w:rPr>
      </w:pPr>
      <w:r w:rsidRPr="00B25602">
        <w:rPr>
          <w:rFonts w:ascii="Times New Roman" w:eastAsia="Times New Roman" w:hAnsi="Times New Roman" w:cs="Times New Roman"/>
          <w:b/>
          <w:color w:val="323E4F" w:themeColor="text2" w:themeShade="BF"/>
        </w:rPr>
        <w:t xml:space="preserve">Figura </w:t>
      </w:r>
      <w:r w:rsidR="008C4E0F" w:rsidRPr="00B25602">
        <w:rPr>
          <w:rFonts w:ascii="Times New Roman" w:eastAsia="Times New Roman" w:hAnsi="Times New Roman" w:cs="Times New Roman"/>
          <w:b/>
          <w:color w:val="323E4F" w:themeColor="text2" w:themeShade="BF"/>
        </w:rPr>
        <w:t xml:space="preserve">5. </w:t>
      </w:r>
      <w:r w:rsidRPr="00B25602">
        <w:rPr>
          <w:rFonts w:ascii="Times New Roman" w:eastAsia="Times New Roman" w:hAnsi="Times New Roman" w:cs="Times New Roman"/>
          <w:b/>
          <w:color w:val="323E4F" w:themeColor="text2" w:themeShade="BF"/>
        </w:rPr>
        <w:t>Proceso de convocatoria de los Fondos Sectoriales</w:t>
      </w:r>
    </w:p>
    <w:p w14:paraId="40AB9EEB" w14:textId="512F7DFD" w:rsidR="00D83BC4" w:rsidRDefault="008C4E0F" w:rsidP="008C4E0F">
      <w:pPr>
        <w:spacing w:line="360" w:lineRule="auto"/>
        <w:jc w:val="center"/>
        <w:rPr>
          <w:rFonts w:ascii="Times New Roman" w:eastAsia="Times New Roman" w:hAnsi="Times New Roman" w:cs="Times New Roman"/>
          <w:b/>
        </w:rPr>
      </w:pPr>
      <w:r w:rsidRPr="00D83BC4">
        <w:rPr>
          <w:rFonts w:ascii="Times New Roman" w:eastAsiaTheme="minorHAnsi" w:hAnsi="Times New Roman" w:cs="Times New Roman"/>
          <w:lang w:val="es-MX" w:eastAsia="en-US"/>
        </w:rPr>
        <w:object w:dxaOrig="8520" w:dyaOrig="5280" w14:anchorId="581C4FD5">
          <v:shape id="_x0000_i1026" type="#_x0000_t75" style="width:369.85pt;height:229.35pt" o:ole="">
            <v:imagedata r:id="rId33" o:title="" cropleft="2292f"/>
          </v:shape>
          <o:OLEObject Type="Embed" ProgID="Visio.Drawing.11" ShapeID="_x0000_i1026" DrawAspect="Content" ObjectID="_1643540027" r:id="rId34"/>
        </w:object>
      </w:r>
    </w:p>
    <w:p w14:paraId="01712AF9" w14:textId="3149B2BD" w:rsidR="008C4E0F" w:rsidRPr="008C4E0F" w:rsidRDefault="008C4E0F" w:rsidP="008C4E0F">
      <w:pPr>
        <w:spacing w:line="360" w:lineRule="auto"/>
        <w:ind w:left="708"/>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Pr="008C4E0F">
        <w:rPr>
          <w:rFonts w:ascii="Times New Roman" w:eastAsia="Times New Roman" w:hAnsi="Times New Roman" w:cs="Times New Roman"/>
          <w:b/>
          <w:sz w:val="16"/>
          <w:szCs w:val="16"/>
        </w:rPr>
        <w:t xml:space="preserve">Fuente: </w:t>
      </w:r>
      <w:r w:rsidRPr="008C4E0F">
        <w:rPr>
          <w:rFonts w:ascii="Times New Roman" w:eastAsia="Times New Roman" w:hAnsi="Times New Roman" w:cs="Times New Roman"/>
          <w:bCs/>
          <w:sz w:val="16"/>
          <w:szCs w:val="16"/>
        </w:rPr>
        <w:t>Elaboración propia</w:t>
      </w:r>
    </w:p>
    <w:p w14:paraId="327C0255" w14:textId="77777777" w:rsidR="008C4E0F" w:rsidRPr="00D83BC4" w:rsidRDefault="008C4E0F" w:rsidP="00D83BC4">
      <w:pPr>
        <w:spacing w:line="360" w:lineRule="auto"/>
        <w:jc w:val="both"/>
        <w:rPr>
          <w:rFonts w:ascii="Times New Roman" w:eastAsia="Times New Roman" w:hAnsi="Times New Roman" w:cs="Times New Roman"/>
          <w:b/>
        </w:rPr>
      </w:pPr>
    </w:p>
    <w:p w14:paraId="7856DCBA" w14:textId="2C70C124" w:rsidR="00D83BC4" w:rsidRPr="008A47EB" w:rsidRDefault="00D83BC4" w:rsidP="002C2BC1">
      <w:pPr>
        <w:rPr>
          <w:rFonts w:ascii="Times New Roman" w:eastAsia="Times New Roman" w:hAnsi="Times New Roman" w:cs="Times New Roman"/>
          <w:b/>
          <w:bCs/>
          <w:color w:val="2F5496" w:themeColor="accent1" w:themeShade="BF"/>
        </w:rPr>
      </w:pPr>
      <w:bookmarkStart w:id="56" w:name="_Toc453749503"/>
      <w:r w:rsidRPr="008A47EB">
        <w:rPr>
          <w:rFonts w:ascii="Times New Roman" w:eastAsia="Times New Roman" w:hAnsi="Times New Roman" w:cs="Times New Roman"/>
          <w:b/>
          <w:bCs/>
          <w:color w:val="2F5496" w:themeColor="accent1" w:themeShade="BF"/>
        </w:rPr>
        <w:lastRenderedPageBreak/>
        <w:t>V.2.2.8</w:t>
      </w:r>
      <w:r w:rsidR="009458C6" w:rsidRPr="008A47EB">
        <w:rPr>
          <w:rFonts w:ascii="Times New Roman" w:eastAsia="Times New Roman" w:hAnsi="Times New Roman" w:cs="Times New Roman"/>
          <w:b/>
          <w:bCs/>
          <w:color w:val="2F5496" w:themeColor="accent1" w:themeShade="BF"/>
        </w:rPr>
        <w:t>.</w:t>
      </w:r>
      <w:r w:rsidRPr="008A47EB">
        <w:rPr>
          <w:rFonts w:ascii="Times New Roman" w:eastAsia="Times New Roman" w:hAnsi="Times New Roman" w:cs="Times New Roman"/>
          <w:b/>
          <w:bCs/>
          <w:color w:val="2F5496" w:themeColor="accent1" w:themeShade="BF"/>
        </w:rPr>
        <w:t xml:space="preserve"> Gobernanza de los Fondos.</w:t>
      </w:r>
      <w:bookmarkEnd w:id="56"/>
    </w:p>
    <w:p w14:paraId="4C688955" w14:textId="4C5AE3D7" w:rsidR="00D83BC4" w:rsidRPr="00D83BC4" w:rsidRDefault="00D83BC4" w:rsidP="008A47EB">
      <w:pPr>
        <w:spacing w:before="100" w:beforeAutospacing="1"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A junio del 2016 se han constituido 24 Fondos Sectoriales, éstos se distribuyen en tres Direcciones Adjuntas de </w:t>
      </w:r>
      <w:r w:rsidR="008922A3">
        <w:rPr>
          <w:rFonts w:ascii="Times New Roman" w:eastAsia="Times New Roman" w:hAnsi="Times New Roman" w:cs="Times New Roman"/>
        </w:rPr>
        <w:t>CONACYT</w:t>
      </w:r>
      <w:r w:rsidRPr="00D83BC4">
        <w:rPr>
          <w:rFonts w:ascii="Times New Roman" w:eastAsia="Times New Roman" w:hAnsi="Times New Roman" w:cs="Times New Roman"/>
        </w:rPr>
        <w:t xml:space="preserve"> para su operación:</w:t>
      </w:r>
    </w:p>
    <w:p w14:paraId="61695B0B" w14:textId="77777777" w:rsidR="00D83BC4" w:rsidRPr="00D83BC4" w:rsidRDefault="00D83BC4" w:rsidP="00D83BC4">
      <w:pPr>
        <w:spacing w:line="360" w:lineRule="auto"/>
        <w:jc w:val="both"/>
        <w:rPr>
          <w:rFonts w:ascii="Times New Roman" w:eastAsia="Times New Roman" w:hAnsi="Times New Roman" w:cs="Times New Roman"/>
        </w:rPr>
      </w:pPr>
    </w:p>
    <w:p w14:paraId="21D694AF" w14:textId="77777777" w:rsidR="00D83BC4" w:rsidRPr="00D83BC4" w:rsidRDefault="00D83BC4" w:rsidP="00D83BC4">
      <w:pPr>
        <w:numPr>
          <w:ilvl w:val="0"/>
          <w:numId w:val="20"/>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Desarrollo Adjunta de Desarrollo Científico, 09 Fondos.</w:t>
      </w:r>
    </w:p>
    <w:p w14:paraId="4012AF54" w14:textId="77777777" w:rsidR="00D83BC4" w:rsidRPr="00D83BC4" w:rsidRDefault="00D83BC4" w:rsidP="00D83BC4">
      <w:pPr>
        <w:numPr>
          <w:ilvl w:val="0"/>
          <w:numId w:val="20"/>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Dirección Adjunta de Planeación y Evaluación, 02 Fondos.</w:t>
      </w:r>
    </w:p>
    <w:p w14:paraId="27DCF45F" w14:textId="77777777" w:rsidR="00D83BC4" w:rsidRPr="00D83BC4" w:rsidRDefault="00D83BC4" w:rsidP="00D83BC4">
      <w:pPr>
        <w:numPr>
          <w:ilvl w:val="0"/>
          <w:numId w:val="20"/>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Dirección adjunta de Desarrollo Tecnológico e Innovación 12 Fondos</w:t>
      </w:r>
    </w:p>
    <w:p w14:paraId="6297A598" w14:textId="77777777" w:rsidR="00D83BC4" w:rsidRPr="00D83BC4" w:rsidRDefault="00D83BC4" w:rsidP="00D83BC4">
      <w:pPr>
        <w:numPr>
          <w:ilvl w:val="0"/>
          <w:numId w:val="20"/>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Dirección de Cooperación Internacional, 01 Fondo.</w:t>
      </w:r>
    </w:p>
    <w:p w14:paraId="6EB8A430" w14:textId="77777777" w:rsidR="00D83BC4" w:rsidRPr="00D83BC4" w:rsidRDefault="00D83BC4" w:rsidP="00D83BC4">
      <w:pPr>
        <w:spacing w:line="360" w:lineRule="auto"/>
        <w:jc w:val="both"/>
        <w:rPr>
          <w:rFonts w:ascii="Times New Roman" w:eastAsia="Times New Roman" w:hAnsi="Times New Roman" w:cs="Times New Roman"/>
        </w:rPr>
      </w:pPr>
    </w:p>
    <w:p w14:paraId="3C7FBBD3"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La Secretaria Técnica de los 24 Fondos está distribuida entre 6 Directores de Área y 2 </w:t>
      </w:r>
      <w:proofErr w:type="gramStart"/>
      <w:r w:rsidRPr="00D83BC4">
        <w:rPr>
          <w:rFonts w:ascii="Times New Roman" w:eastAsia="Times New Roman" w:hAnsi="Times New Roman" w:cs="Times New Roman"/>
        </w:rPr>
        <w:t>Subdirectores</w:t>
      </w:r>
      <w:proofErr w:type="gramEnd"/>
      <w:r w:rsidRPr="00D83BC4">
        <w:rPr>
          <w:rFonts w:ascii="Times New Roman" w:eastAsia="Times New Roman" w:hAnsi="Times New Roman" w:cs="Times New Roman"/>
        </w:rPr>
        <w:t>:</w:t>
      </w:r>
    </w:p>
    <w:p w14:paraId="0B556732" w14:textId="77777777" w:rsidR="00D83BC4" w:rsidRPr="00D83BC4" w:rsidRDefault="00D83BC4" w:rsidP="00D83BC4">
      <w:pPr>
        <w:spacing w:line="360" w:lineRule="auto"/>
        <w:jc w:val="both"/>
        <w:rPr>
          <w:rFonts w:ascii="Times New Roman" w:eastAsia="Times New Roman" w:hAnsi="Times New Roman" w:cs="Times New Roman"/>
        </w:rPr>
      </w:pPr>
    </w:p>
    <w:p w14:paraId="66649EF6" w14:textId="77777777" w:rsidR="00D83BC4" w:rsidRPr="00D83BC4" w:rsidRDefault="00D83BC4" w:rsidP="00D83BC4">
      <w:pPr>
        <w:numPr>
          <w:ilvl w:val="0"/>
          <w:numId w:val="20"/>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 xml:space="preserve">Desarrollo Adjunta de Desarrollo Científico, 02 </w:t>
      </w:r>
      <w:proofErr w:type="gramStart"/>
      <w:r w:rsidRPr="00D83BC4">
        <w:rPr>
          <w:rFonts w:ascii="Times New Roman" w:eastAsia="Times New Roman" w:hAnsi="Times New Roman" w:cs="Times New Roman"/>
        </w:rPr>
        <w:t>Directores</w:t>
      </w:r>
      <w:proofErr w:type="gramEnd"/>
      <w:r w:rsidRPr="00D83BC4">
        <w:rPr>
          <w:rFonts w:ascii="Times New Roman" w:eastAsia="Times New Roman" w:hAnsi="Times New Roman" w:cs="Times New Roman"/>
        </w:rPr>
        <w:t>.</w:t>
      </w:r>
    </w:p>
    <w:p w14:paraId="3D332D3E" w14:textId="77777777" w:rsidR="00D83BC4" w:rsidRPr="00D83BC4" w:rsidRDefault="00D83BC4" w:rsidP="00D83BC4">
      <w:pPr>
        <w:numPr>
          <w:ilvl w:val="0"/>
          <w:numId w:val="20"/>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 xml:space="preserve">Dirección Adjunta de Desarrollo Tecnológico e Innovación 04 </w:t>
      </w:r>
      <w:proofErr w:type="gramStart"/>
      <w:r w:rsidRPr="00D83BC4">
        <w:rPr>
          <w:rFonts w:ascii="Times New Roman" w:eastAsia="Times New Roman" w:hAnsi="Times New Roman" w:cs="Times New Roman"/>
        </w:rPr>
        <w:t>Directores</w:t>
      </w:r>
      <w:proofErr w:type="gramEnd"/>
    </w:p>
    <w:p w14:paraId="6F5B703F" w14:textId="77777777" w:rsidR="00D83BC4" w:rsidRPr="00D83BC4" w:rsidRDefault="00D83BC4" w:rsidP="00D83BC4">
      <w:pPr>
        <w:numPr>
          <w:ilvl w:val="0"/>
          <w:numId w:val="20"/>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 xml:space="preserve">Dirección Adjunta de Planeación y Evaluación, 01 </w:t>
      </w:r>
      <w:proofErr w:type="gramStart"/>
      <w:r w:rsidRPr="00D83BC4">
        <w:rPr>
          <w:rFonts w:ascii="Times New Roman" w:eastAsia="Times New Roman" w:hAnsi="Times New Roman" w:cs="Times New Roman"/>
        </w:rPr>
        <w:t>Subdirector</w:t>
      </w:r>
      <w:proofErr w:type="gramEnd"/>
      <w:r w:rsidRPr="00D83BC4">
        <w:rPr>
          <w:rFonts w:ascii="Times New Roman" w:eastAsia="Times New Roman" w:hAnsi="Times New Roman" w:cs="Times New Roman"/>
        </w:rPr>
        <w:t>.</w:t>
      </w:r>
    </w:p>
    <w:p w14:paraId="21EE2117" w14:textId="77777777" w:rsidR="00D83BC4" w:rsidRPr="00D83BC4" w:rsidRDefault="00D83BC4" w:rsidP="00D83BC4">
      <w:pPr>
        <w:numPr>
          <w:ilvl w:val="0"/>
          <w:numId w:val="20"/>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 xml:space="preserve">Dirección de Cooperación Internacional, 01 </w:t>
      </w:r>
      <w:proofErr w:type="gramStart"/>
      <w:r w:rsidRPr="00D83BC4">
        <w:rPr>
          <w:rFonts w:ascii="Times New Roman" w:eastAsia="Times New Roman" w:hAnsi="Times New Roman" w:cs="Times New Roman"/>
        </w:rPr>
        <w:t>Subdirector</w:t>
      </w:r>
      <w:proofErr w:type="gramEnd"/>
      <w:r w:rsidRPr="00D83BC4">
        <w:rPr>
          <w:rFonts w:ascii="Times New Roman" w:eastAsia="Times New Roman" w:hAnsi="Times New Roman" w:cs="Times New Roman"/>
        </w:rPr>
        <w:t>.</w:t>
      </w:r>
    </w:p>
    <w:p w14:paraId="4778411A" w14:textId="77777777" w:rsidR="00D83BC4" w:rsidRPr="00D83BC4" w:rsidRDefault="00D83BC4" w:rsidP="00D83BC4">
      <w:pPr>
        <w:spacing w:line="360" w:lineRule="auto"/>
        <w:jc w:val="both"/>
        <w:rPr>
          <w:rFonts w:ascii="Times New Roman" w:eastAsia="Times New Roman" w:hAnsi="Times New Roman" w:cs="Times New Roman"/>
        </w:rPr>
      </w:pPr>
    </w:p>
    <w:p w14:paraId="6B6662CD" w14:textId="183F989A"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 xml:space="preserve">Aunque no es una regla para todos los Fondos, generalmente corresponde al Director Adjunto la responsabilidad de ser el Representante de </w:t>
      </w:r>
      <w:r w:rsidR="008922A3">
        <w:rPr>
          <w:rFonts w:ascii="Times New Roman" w:eastAsia="Times New Roman" w:hAnsi="Times New Roman" w:cs="Times New Roman"/>
        </w:rPr>
        <w:t>CONACYT</w:t>
      </w:r>
      <w:r w:rsidRPr="00D83BC4">
        <w:rPr>
          <w:rFonts w:ascii="Times New Roman" w:eastAsia="Times New Roman" w:hAnsi="Times New Roman" w:cs="Times New Roman"/>
        </w:rPr>
        <w:t xml:space="preserve"> ante el Comité Técnico y de Administración.</w:t>
      </w:r>
    </w:p>
    <w:p w14:paraId="51E942F0" w14:textId="77777777" w:rsidR="00D83BC4" w:rsidRPr="00D83BC4" w:rsidRDefault="00D83BC4" w:rsidP="00D83BC4">
      <w:pPr>
        <w:spacing w:line="360" w:lineRule="auto"/>
        <w:jc w:val="both"/>
        <w:rPr>
          <w:rFonts w:ascii="Times New Roman" w:eastAsia="Times New Roman" w:hAnsi="Times New Roman" w:cs="Times New Roman"/>
        </w:rPr>
      </w:pPr>
    </w:p>
    <w:p w14:paraId="7CB9E3C0" w14:textId="6A3D00F3" w:rsidR="00D83BC4" w:rsidRPr="00D83BC4" w:rsidRDefault="00D83BC4" w:rsidP="00D83BC4">
      <w:pPr>
        <w:spacing w:line="360" w:lineRule="auto"/>
        <w:jc w:val="both"/>
        <w:rPr>
          <w:rFonts w:ascii="Times New Roman" w:eastAsia="Times New Roman" w:hAnsi="Times New Roman" w:cs="Times New Roman"/>
          <w:b/>
        </w:rPr>
      </w:pPr>
      <w:r w:rsidRPr="00D83BC4">
        <w:rPr>
          <w:rFonts w:ascii="Times New Roman" w:eastAsia="Times New Roman" w:hAnsi="Times New Roman" w:cs="Times New Roman"/>
        </w:rPr>
        <w:t xml:space="preserve">La distribución de los 24 Fondos Sectoriales se muestra en el </w:t>
      </w:r>
      <w:r w:rsidR="007E4ACA" w:rsidRPr="007E4ACA">
        <w:rPr>
          <w:rFonts w:ascii="Times New Roman" w:eastAsia="Times New Roman" w:hAnsi="Times New Roman" w:cs="Times New Roman"/>
          <w:b/>
        </w:rPr>
        <w:t>Anexo 1</w:t>
      </w:r>
      <w:r w:rsidRPr="00D83BC4">
        <w:rPr>
          <w:rFonts w:ascii="Times New Roman" w:eastAsia="Times New Roman" w:hAnsi="Times New Roman" w:cs="Times New Roman"/>
        </w:rPr>
        <w:t>.</w:t>
      </w:r>
    </w:p>
    <w:p w14:paraId="0263328B" w14:textId="0685C317" w:rsidR="00D83BC4" w:rsidRPr="00D83BC4" w:rsidRDefault="00D83BC4" w:rsidP="008A47EB">
      <w:pPr>
        <w:pStyle w:val="Ttulo2"/>
        <w:spacing w:before="100" w:beforeAutospacing="1"/>
        <w:rPr>
          <w:rFonts w:ascii="Times New Roman" w:hAnsi="Times New Roman" w:cs="Times New Roman"/>
          <w:b/>
          <w:bCs/>
        </w:rPr>
      </w:pPr>
      <w:bookmarkStart w:id="57" w:name="_Toc447611681"/>
      <w:bookmarkStart w:id="58" w:name="_Toc32920336"/>
      <w:r w:rsidRPr="00D83BC4">
        <w:rPr>
          <w:rFonts w:ascii="Times New Roman" w:hAnsi="Times New Roman" w:cs="Times New Roman"/>
          <w:b/>
          <w:bCs/>
        </w:rPr>
        <w:t>V.3. Previsiones para la Integración y Operación del Padrón de Beneficiarios</w:t>
      </w:r>
      <w:bookmarkEnd w:id="57"/>
      <w:bookmarkEnd w:id="58"/>
    </w:p>
    <w:p w14:paraId="3296A04A" w14:textId="77777777" w:rsidR="00D83BC4" w:rsidRPr="00D83BC4" w:rsidRDefault="00D83BC4" w:rsidP="008A47EB">
      <w:pPr>
        <w:spacing w:before="100" w:beforeAutospacing="1" w:line="360" w:lineRule="auto"/>
        <w:jc w:val="both"/>
        <w:rPr>
          <w:rFonts w:ascii="Times New Roman" w:eastAsia="Times New Roman" w:hAnsi="Times New Roman" w:cs="Times New Roman"/>
        </w:rPr>
      </w:pPr>
      <w:bookmarkStart w:id="59" w:name="_Toc447611682"/>
      <w:r w:rsidRPr="00D83BC4">
        <w:rPr>
          <w:rFonts w:ascii="Times New Roman" w:eastAsia="Times New Roman" w:hAnsi="Times New Roman" w:cs="Times New Roman"/>
        </w:rPr>
        <w:t xml:space="preserve">El padrón de beneficiarios es un documento en donde se enlista a los sujetos de apoyo. Los sujetos de apoyo son las personas físicas o morales, de carácter público o privado que, de conformidad con el procedimiento de Convocatoria respectivo, reciben recursos económicos para llevar a cabo su proyecto de investigación. </w:t>
      </w:r>
    </w:p>
    <w:p w14:paraId="57900DA7" w14:textId="77777777" w:rsidR="00D83BC4" w:rsidRPr="00D83BC4" w:rsidRDefault="00D83BC4" w:rsidP="00D83BC4">
      <w:pPr>
        <w:spacing w:line="360" w:lineRule="auto"/>
        <w:jc w:val="both"/>
        <w:rPr>
          <w:rFonts w:ascii="Times New Roman" w:eastAsia="Times New Roman" w:hAnsi="Times New Roman" w:cs="Times New Roman"/>
        </w:rPr>
      </w:pPr>
    </w:p>
    <w:p w14:paraId="4C68972F"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lastRenderedPageBreak/>
        <w:t>Para contabilizar el número de sujetos de apoyo se prevé lo siguiente:</w:t>
      </w:r>
    </w:p>
    <w:p w14:paraId="637CC5E8" w14:textId="77777777" w:rsidR="00D83BC4" w:rsidRPr="00D83BC4" w:rsidRDefault="00D83BC4" w:rsidP="00D83BC4">
      <w:pPr>
        <w:spacing w:line="360" w:lineRule="auto"/>
        <w:jc w:val="both"/>
        <w:rPr>
          <w:rFonts w:ascii="Times New Roman" w:eastAsia="Times New Roman" w:hAnsi="Times New Roman" w:cs="Times New Roman"/>
        </w:rPr>
      </w:pPr>
    </w:p>
    <w:p w14:paraId="44C13B55" w14:textId="46892F24" w:rsidR="00D83BC4" w:rsidRPr="00D83BC4" w:rsidRDefault="00D83BC4" w:rsidP="00D83BC4">
      <w:pPr>
        <w:numPr>
          <w:ilvl w:val="0"/>
          <w:numId w:val="21"/>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 xml:space="preserve">Cuando, debido a su capacidad, una persona moral (instituto, universidad, organismo público etc.) presente varias propuestas por medio de diferentes Responsables Técnicos y n propuestas (a nombre dicha </w:t>
      </w:r>
      <w:r w:rsidR="00480497" w:rsidRPr="00D83BC4">
        <w:rPr>
          <w:rFonts w:ascii="Times New Roman" w:eastAsia="Times New Roman" w:hAnsi="Times New Roman" w:cs="Times New Roman"/>
        </w:rPr>
        <w:t>entidad) resultasen</w:t>
      </w:r>
      <w:r w:rsidRPr="00D83BC4">
        <w:rPr>
          <w:rFonts w:ascii="Times New Roman" w:eastAsia="Times New Roman" w:hAnsi="Times New Roman" w:cs="Times New Roman"/>
        </w:rPr>
        <w:t xml:space="preserve"> apoyadas, n será la cantidad de sujetos de apoyo contabilizada en el padrón de beneficiarios.</w:t>
      </w:r>
    </w:p>
    <w:p w14:paraId="440E14DB" w14:textId="77777777" w:rsidR="00D83BC4" w:rsidRPr="00D83BC4" w:rsidRDefault="00D83BC4" w:rsidP="00D83BC4">
      <w:pPr>
        <w:spacing w:line="360" w:lineRule="auto"/>
        <w:ind w:left="993" w:hanging="426"/>
        <w:jc w:val="both"/>
        <w:rPr>
          <w:rFonts w:ascii="Times New Roman" w:eastAsia="Times New Roman" w:hAnsi="Times New Roman" w:cs="Times New Roman"/>
        </w:rPr>
      </w:pPr>
      <w:r w:rsidRPr="00D83BC4">
        <w:rPr>
          <w:rFonts w:ascii="Times New Roman" w:eastAsia="Times New Roman" w:hAnsi="Times New Roman" w:cs="Times New Roman"/>
        </w:rPr>
        <w:t>2.</w:t>
      </w:r>
      <w:r w:rsidRPr="00D83BC4">
        <w:rPr>
          <w:rFonts w:ascii="Times New Roman" w:eastAsia="Times New Roman" w:hAnsi="Times New Roman" w:cs="Times New Roman"/>
        </w:rPr>
        <w:tab/>
        <w:t>Por consecuencia, el nombre del sujeto de apoyo se repetirá tantas veces como proyectos a su nombre hayan sido aprobados. Esto se tiene presente al contabilizar la población atendida, pues el número de sujetos de apoyo deberá corresponder con el número de propuestas apoyadas, con independencia de que varias propuestas provengan de un solo sujeto de apoyo.</w:t>
      </w:r>
    </w:p>
    <w:p w14:paraId="6B42DB64" w14:textId="77777777" w:rsidR="00D83BC4" w:rsidRPr="00D83BC4" w:rsidRDefault="00D83BC4" w:rsidP="00D83BC4">
      <w:pPr>
        <w:spacing w:line="360" w:lineRule="auto"/>
        <w:jc w:val="both"/>
        <w:rPr>
          <w:rFonts w:ascii="Times New Roman" w:eastAsia="Times New Roman" w:hAnsi="Times New Roman" w:cs="Times New Roman"/>
        </w:rPr>
      </w:pPr>
    </w:p>
    <w:p w14:paraId="7EE77041" w14:textId="77777777" w:rsidR="00D83BC4" w:rsidRPr="00D83BC4" w:rsidRDefault="00D83BC4" w:rsidP="00D83BC4">
      <w:pPr>
        <w:spacing w:line="360" w:lineRule="auto"/>
        <w:jc w:val="both"/>
        <w:rPr>
          <w:rFonts w:ascii="Times New Roman" w:eastAsia="Times New Roman" w:hAnsi="Times New Roman" w:cs="Times New Roman"/>
        </w:rPr>
      </w:pPr>
      <w:r w:rsidRPr="00D83BC4">
        <w:rPr>
          <w:rFonts w:ascii="Times New Roman" w:eastAsia="Times New Roman" w:hAnsi="Times New Roman" w:cs="Times New Roman"/>
        </w:rPr>
        <w:t>Para presentar el padrón de beneficiarios se contempla lo siguiente:</w:t>
      </w:r>
    </w:p>
    <w:p w14:paraId="0FCA613B" w14:textId="77777777" w:rsidR="00D83BC4" w:rsidRPr="00D83BC4" w:rsidRDefault="00D83BC4" w:rsidP="00D83BC4">
      <w:pPr>
        <w:spacing w:line="360" w:lineRule="auto"/>
        <w:jc w:val="both"/>
        <w:rPr>
          <w:rFonts w:ascii="Times New Roman" w:eastAsia="Times New Roman" w:hAnsi="Times New Roman" w:cs="Times New Roman"/>
        </w:rPr>
      </w:pPr>
    </w:p>
    <w:p w14:paraId="6200D266" w14:textId="77777777" w:rsidR="00D83BC4" w:rsidRPr="00D83BC4" w:rsidRDefault="00D83BC4" w:rsidP="00D83BC4">
      <w:pPr>
        <w:numPr>
          <w:ilvl w:val="0"/>
          <w:numId w:val="22"/>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La información de los proyectos se vierte en un formato accesible y de fácil manejo para el usuario. Las hojas de cálculo de Microsoft Excel® son el medio informático empleado para el manejo de dicha información.</w:t>
      </w:r>
    </w:p>
    <w:p w14:paraId="54947536" w14:textId="77777777" w:rsidR="00D83BC4" w:rsidRPr="00D83BC4" w:rsidRDefault="00D83BC4" w:rsidP="00D83BC4">
      <w:pPr>
        <w:numPr>
          <w:ilvl w:val="0"/>
          <w:numId w:val="22"/>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 xml:space="preserve">El archivo informático nos permite conocer la procedencia institucional del proyecto, nombre de la persona física a cargo de su realización (responsable técnico), el monto autorizado y el número consecutivo de identificación para los proyectos. </w:t>
      </w:r>
    </w:p>
    <w:p w14:paraId="5E617082" w14:textId="2D539252" w:rsidR="00D83BC4" w:rsidRPr="00D83BC4" w:rsidRDefault="00D83BC4" w:rsidP="00D83BC4">
      <w:pPr>
        <w:numPr>
          <w:ilvl w:val="0"/>
          <w:numId w:val="22"/>
        </w:numPr>
        <w:spacing w:line="360" w:lineRule="auto"/>
        <w:contextualSpacing/>
        <w:jc w:val="both"/>
        <w:rPr>
          <w:rFonts w:ascii="Times New Roman" w:eastAsia="Times New Roman" w:hAnsi="Times New Roman" w:cs="Times New Roman"/>
        </w:rPr>
      </w:pPr>
      <w:r w:rsidRPr="00D83BC4">
        <w:rPr>
          <w:rFonts w:ascii="Times New Roman" w:eastAsia="Times New Roman" w:hAnsi="Times New Roman" w:cs="Times New Roman"/>
        </w:rPr>
        <w:t xml:space="preserve">El padrón de beneficiarios se actualiza trimestralmente y puede consultarse por todo interesado en la página electrónica del </w:t>
      </w:r>
      <w:r w:rsidR="008922A3">
        <w:rPr>
          <w:rFonts w:ascii="Times New Roman" w:eastAsia="Times New Roman" w:hAnsi="Times New Roman" w:cs="Times New Roman"/>
        </w:rPr>
        <w:t>CONACYT</w:t>
      </w:r>
      <w:r w:rsidRPr="00D83BC4">
        <w:rPr>
          <w:rFonts w:ascii="Times New Roman" w:eastAsia="Times New Roman" w:hAnsi="Times New Roman" w:cs="Times New Roman"/>
        </w:rPr>
        <w:t>.</w:t>
      </w:r>
    </w:p>
    <w:p w14:paraId="10E8F687" w14:textId="77777777" w:rsidR="007E4ACA" w:rsidRPr="00D83BC4" w:rsidRDefault="007E4ACA" w:rsidP="00D83BC4">
      <w:pPr>
        <w:jc w:val="both"/>
        <w:rPr>
          <w:rFonts w:ascii="Arial" w:eastAsia="Times New Roman" w:hAnsi="Arial" w:cs="Arial"/>
        </w:rPr>
      </w:pPr>
    </w:p>
    <w:p w14:paraId="4C2EBA9D" w14:textId="44472628" w:rsidR="00D83BC4" w:rsidRPr="00D83BC4" w:rsidRDefault="00D83BC4" w:rsidP="00014207">
      <w:pPr>
        <w:pStyle w:val="Ttulo2"/>
        <w:rPr>
          <w:rFonts w:ascii="Times New Roman" w:hAnsi="Times New Roman" w:cs="Times New Roman"/>
          <w:b/>
          <w:bCs/>
        </w:rPr>
      </w:pPr>
      <w:bookmarkStart w:id="60" w:name="_Toc32920337"/>
      <w:r w:rsidRPr="00D83BC4">
        <w:rPr>
          <w:rFonts w:ascii="Times New Roman" w:hAnsi="Times New Roman" w:cs="Times New Roman"/>
          <w:b/>
          <w:bCs/>
        </w:rPr>
        <w:t>V.4.</w:t>
      </w:r>
      <w:r w:rsidRPr="00D83BC4">
        <w:rPr>
          <w:rFonts w:ascii="Times New Roman" w:hAnsi="Times New Roman" w:cs="Times New Roman"/>
          <w:b/>
          <w:bCs/>
        </w:rPr>
        <w:tab/>
        <w:t>Matriz de Indicadores de Resultados</w:t>
      </w:r>
      <w:bookmarkEnd w:id="59"/>
      <w:bookmarkEnd w:id="60"/>
      <w:r w:rsidRPr="00D83BC4">
        <w:rPr>
          <w:rFonts w:ascii="Times New Roman" w:hAnsi="Times New Roman" w:cs="Times New Roman"/>
          <w:b/>
          <w:bCs/>
        </w:rPr>
        <w:t xml:space="preserve"> </w:t>
      </w:r>
    </w:p>
    <w:p w14:paraId="37B9F3A0" w14:textId="77777777" w:rsidR="00D83BC4" w:rsidRPr="00D83BC4" w:rsidRDefault="00D83BC4" w:rsidP="008A47EB">
      <w:pPr>
        <w:spacing w:before="100" w:beforeAutospacing="1" w:line="360" w:lineRule="auto"/>
        <w:jc w:val="both"/>
        <w:rPr>
          <w:rFonts w:ascii="Times New Roman" w:hAnsi="Times New Roman" w:cs="Times New Roman"/>
        </w:rPr>
      </w:pPr>
      <w:bookmarkStart w:id="61" w:name="_Toc447611683"/>
      <w:r w:rsidRPr="00D83BC4">
        <w:rPr>
          <w:rFonts w:ascii="Times New Roman" w:hAnsi="Times New Roman" w:cs="Times New Roman"/>
        </w:rPr>
        <w:t>La MIR del Programa se construyó siguiendo los siguientes elementos del árbol de objetivos:</w:t>
      </w:r>
    </w:p>
    <w:p w14:paraId="64E7B223" w14:textId="77777777" w:rsidR="008A47EB" w:rsidRDefault="008A47EB" w:rsidP="002C2BC1">
      <w:pPr>
        <w:rPr>
          <w:rFonts w:ascii="Times New Roman" w:hAnsi="Times New Roman" w:cs="Times New Roman"/>
          <w:b/>
          <w:bCs/>
        </w:rPr>
      </w:pPr>
      <w:bookmarkStart w:id="62" w:name="_Toc453749506"/>
    </w:p>
    <w:p w14:paraId="3771298F" w14:textId="77777777" w:rsidR="008A47EB" w:rsidRDefault="008A47EB" w:rsidP="002C2BC1">
      <w:pPr>
        <w:rPr>
          <w:rFonts w:ascii="Times New Roman" w:hAnsi="Times New Roman" w:cs="Times New Roman"/>
          <w:b/>
          <w:bCs/>
        </w:rPr>
      </w:pPr>
    </w:p>
    <w:p w14:paraId="36E27795" w14:textId="77777777" w:rsidR="008A47EB" w:rsidRDefault="008A47EB" w:rsidP="002C2BC1">
      <w:pPr>
        <w:rPr>
          <w:rFonts w:ascii="Times New Roman" w:hAnsi="Times New Roman" w:cs="Times New Roman"/>
          <w:b/>
          <w:bCs/>
        </w:rPr>
      </w:pPr>
    </w:p>
    <w:p w14:paraId="40DEF473" w14:textId="77777777" w:rsidR="008A47EB" w:rsidRDefault="008A47EB" w:rsidP="002C2BC1">
      <w:pPr>
        <w:rPr>
          <w:rFonts w:ascii="Times New Roman" w:hAnsi="Times New Roman" w:cs="Times New Roman"/>
          <w:b/>
          <w:bCs/>
        </w:rPr>
      </w:pPr>
    </w:p>
    <w:p w14:paraId="007E9E4B" w14:textId="77777777" w:rsidR="008A47EB" w:rsidRDefault="008A47EB" w:rsidP="002C2BC1">
      <w:pPr>
        <w:rPr>
          <w:rFonts w:ascii="Times New Roman" w:hAnsi="Times New Roman" w:cs="Times New Roman"/>
          <w:b/>
          <w:bCs/>
        </w:rPr>
      </w:pPr>
    </w:p>
    <w:p w14:paraId="73C40BC0" w14:textId="4454B3B2" w:rsidR="00D83BC4" w:rsidRPr="008A47EB" w:rsidRDefault="00D83BC4" w:rsidP="008A47EB">
      <w:pPr>
        <w:rPr>
          <w:rFonts w:ascii="Times New Roman" w:hAnsi="Times New Roman" w:cs="Times New Roman"/>
          <w:b/>
          <w:bCs/>
          <w:color w:val="2F5496" w:themeColor="accent1" w:themeShade="BF"/>
        </w:rPr>
      </w:pPr>
      <w:r w:rsidRPr="008A47EB">
        <w:rPr>
          <w:rFonts w:ascii="Times New Roman" w:hAnsi="Times New Roman" w:cs="Times New Roman"/>
          <w:b/>
          <w:bCs/>
          <w:color w:val="2F5496" w:themeColor="accent1" w:themeShade="BF"/>
        </w:rPr>
        <w:lastRenderedPageBreak/>
        <w:t>V.4.</w:t>
      </w:r>
      <w:r w:rsidR="009458C6" w:rsidRPr="008A47EB">
        <w:rPr>
          <w:rFonts w:ascii="Times New Roman" w:hAnsi="Times New Roman" w:cs="Times New Roman"/>
          <w:b/>
          <w:bCs/>
          <w:color w:val="2F5496" w:themeColor="accent1" w:themeShade="BF"/>
        </w:rPr>
        <w:t>1.</w:t>
      </w:r>
      <w:r w:rsidRPr="008A47EB">
        <w:rPr>
          <w:rFonts w:ascii="Times New Roman" w:hAnsi="Times New Roman" w:cs="Times New Roman"/>
          <w:b/>
          <w:bCs/>
          <w:color w:val="2F5496" w:themeColor="accent1" w:themeShade="BF"/>
        </w:rPr>
        <w:t xml:space="preserve"> F</w:t>
      </w:r>
      <w:r w:rsidR="009458C6" w:rsidRPr="008A47EB">
        <w:rPr>
          <w:rFonts w:ascii="Times New Roman" w:hAnsi="Times New Roman" w:cs="Times New Roman"/>
          <w:b/>
          <w:bCs/>
          <w:color w:val="2F5496" w:themeColor="accent1" w:themeShade="BF"/>
        </w:rPr>
        <w:t>in</w:t>
      </w:r>
      <w:r w:rsidRPr="008A47EB">
        <w:rPr>
          <w:rFonts w:ascii="Times New Roman" w:hAnsi="Times New Roman" w:cs="Times New Roman"/>
          <w:b/>
          <w:bCs/>
          <w:color w:val="2F5496" w:themeColor="accent1" w:themeShade="BF"/>
        </w:rPr>
        <w:t>:</w:t>
      </w:r>
      <w:bookmarkEnd w:id="62"/>
    </w:p>
    <w:p w14:paraId="4D3123DC" w14:textId="1C187A29" w:rsidR="00EC457B" w:rsidRPr="00EC457B" w:rsidRDefault="00EC457B" w:rsidP="008A47EB">
      <w:pPr>
        <w:spacing w:before="100" w:beforeAutospacing="1" w:line="360" w:lineRule="auto"/>
        <w:rPr>
          <w:rFonts w:ascii="Times New Roman" w:eastAsiaTheme="majorEastAsia" w:hAnsi="Times New Roman" w:cs="Times New Roman"/>
          <w:bCs/>
        </w:rPr>
      </w:pPr>
      <w:r w:rsidRPr="00EC457B">
        <w:rPr>
          <w:rFonts w:ascii="Times New Roman" w:eastAsiaTheme="majorEastAsia" w:hAnsi="Times New Roman" w:cs="Times New Roman"/>
          <w:bCs/>
        </w:rPr>
        <w:t>Contribuir al desarrollo económico incluyente mediante la generación de capacidades en ciencia, tecnología e innovación de los Sectores de la Administración Pública Federal (APF).</w:t>
      </w:r>
    </w:p>
    <w:p w14:paraId="5B12C3B9" w14:textId="77777777" w:rsidR="008A47EB" w:rsidRDefault="008A47EB" w:rsidP="00D83BC4">
      <w:pPr>
        <w:spacing w:line="360" w:lineRule="auto"/>
        <w:jc w:val="both"/>
        <w:rPr>
          <w:rFonts w:ascii="Times New Roman" w:hAnsi="Times New Roman" w:cs="Times New Roman"/>
          <w:lang w:val="es-MX"/>
        </w:rPr>
      </w:pPr>
    </w:p>
    <w:p w14:paraId="7E270121" w14:textId="50800A2A" w:rsidR="00D83BC4" w:rsidRPr="00D83BC4" w:rsidRDefault="00D83BC4" w:rsidP="00D83BC4">
      <w:pPr>
        <w:spacing w:line="360" w:lineRule="auto"/>
        <w:jc w:val="both"/>
        <w:rPr>
          <w:rFonts w:ascii="Times New Roman" w:hAnsi="Times New Roman" w:cs="Times New Roman"/>
          <w:lang w:val="es-MX"/>
        </w:rPr>
      </w:pPr>
      <w:r w:rsidRPr="00D83BC4">
        <w:rPr>
          <w:rFonts w:ascii="Times New Roman" w:hAnsi="Times New Roman" w:cs="Times New Roman"/>
          <w:lang w:val="es-MX"/>
        </w:rPr>
        <w:t>Para alcanzar dicho Fin, se parte del supuesto de que el gasto en ciencia y tecnología crece de manera constante y sostenida.</w:t>
      </w:r>
    </w:p>
    <w:p w14:paraId="5AD6B76C" w14:textId="77777777" w:rsidR="008A47EB" w:rsidRDefault="008A47EB" w:rsidP="002C2BC1">
      <w:pPr>
        <w:rPr>
          <w:rFonts w:ascii="Times New Roman" w:hAnsi="Times New Roman" w:cs="Times New Roman"/>
          <w:b/>
          <w:bCs/>
        </w:rPr>
      </w:pPr>
      <w:bookmarkStart w:id="63" w:name="_Toc453749507"/>
    </w:p>
    <w:p w14:paraId="39635556" w14:textId="79EB8192" w:rsidR="00D83BC4" w:rsidRPr="008A47EB" w:rsidRDefault="00D83BC4" w:rsidP="002C2BC1">
      <w:pPr>
        <w:rPr>
          <w:rFonts w:ascii="Times New Roman" w:hAnsi="Times New Roman" w:cs="Times New Roman"/>
          <w:b/>
          <w:bCs/>
          <w:color w:val="2F5496" w:themeColor="accent1" w:themeShade="BF"/>
        </w:rPr>
      </w:pPr>
      <w:r w:rsidRPr="008A47EB">
        <w:rPr>
          <w:rFonts w:ascii="Times New Roman" w:hAnsi="Times New Roman" w:cs="Times New Roman"/>
          <w:b/>
          <w:bCs/>
          <w:color w:val="2F5496" w:themeColor="accent1" w:themeShade="BF"/>
        </w:rPr>
        <w:t>V.4.2</w:t>
      </w:r>
      <w:r w:rsidR="009458C6" w:rsidRPr="008A47EB">
        <w:rPr>
          <w:rFonts w:ascii="Times New Roman" w:hAnsi="Times New Roman" w:cs="Times New Roman"/>
          <w:b/>
          <w:bCs/>
          <w:color w:val="2F5496" w:themeColor="accent1" w:themeShade="BF"/>
        </w:rPr>
        <w:t xml:space="preserve">. </w:t>
      </w:r>
      <w:r w:rsidRPr="008A47EB">
        <w:rPr>
          <w:rFonts w:ascii="Times New Roman" w:hAnsi="Times New Roman" w:cs="Times New Roman"/>
          <w:b/>
          <w:bCs/>
          <w:color w:val="2F5496" w:themeColor="accent1" w:themeShade="BF"/>
        </w:rPr>
        <w:t>P</w:t>
      </w:r>
      <w:r w:rsidR="009458C6" w:rsidRPr="008A47EB">
        <w:rPr>
          <w:rFonts w:ascii="Times New Roman" w:hAnsi="Times New Roman" w:cs="Times New Roman"/>
          <w:b/>
          <w:bCs/>
          <w:color w:val="2F5496" w:themeColor="accent1" w:themeShade="BF"/>
        </w:rPr>
        <w:t>ropósito</w:t>
      </w:r>
      <w:r w:rsidRPr="008A47EB">
        <w:rPr>
          <w:rFonts w:ascii="Times New Roman" w:hAnsi="Times New Roman" w:cs="Times New Roman"/>
          <w:b/>
          <w:bCs/>
          <w:color w:val="2F5496" w:themeColor="accent1" w:themeShade="BF"/>
        </w:rPr>
        <w:t>:</w:t>
      </w:r>
      <w:bookmarkEnd w:id="63"/>
    </w:p>
    <w:p w14:paraId="122DA357" w14:textId="56BD2D80" w:rsidR="00B32492" w:rsidRDefault="00B32492" w:rsidP="008A47EB">
      <w:pPr>
        <w:spacing w:before="100" w:beforeAutospacing="1" w:line="360" w:lineRule="auto"/>
        <w:jc w:val="both"/>
        <w:rPr>
          <w:rFonts w:ascii="Times New Roman" w:eastAsiaTheme="majorEastAsia" w:hAnsi="Times New Roman" w:cs="Times New Roman"/>
          <w:bCs/>
        </w:rPr>
      </w:pPr>
      <w:r w:rsidRPr="00B32492">
        <w:rPr>
          <w:rFonts w:ascii="Times New Roman" w:eastAsiaTheme="majorEastAsia" w:hAnsi="Times New Roman" w:cs="Times New Roman"/>
          <w:bCs/>
        </w:rPr>
        <w:t>Los Sectores Administrativos de la Administración Pública Federal (APF) generan capacidades en ciencia, tecnología e innovación que permiten cumplir sus objetivos.</w:t>
      </w:r>
    </w:p>
    <w:p w14:paraId="3D680313" w14:textId="77777777" w:rsidR="009458C6" w:rsidRDefault="009458C6" w:rsidP="009458C6">
      <w:pPr>
        <w:spacing w:line="360" w:lineRule="auto"/>
        <w:jc w:val="both"/>
        <w:rPr>
          <w:rFonts w:ascii="Times New Roman" w:eastAsiaTheme="majorEastAsia" w:hAnsi="Times New Roman" w:cs="Times New Roman"/>
          <w:bCs/>
        </w:rPr>
      </w:pPr>
    </w:p>
    <w:p w14:paraId="32876709" w14:textId="2D9EBA90" w:rsidR="00B32492" w:rsidRDefault="00B32492" w:rsidP="009458C6">
      <w:pPr>
        <w:spacing w:line="360" w:lineRule="auto"/>
        <w:jc w:val="both"/>
        <w:rPr>
          <w:rFonts w:ascii="Times New Roman" w:eastAsiaTheme="majorEastAsia" w:hAnsi="Times New Roman" w:cs="Times New Roman"/>
          <w:bCs/>
        </w:rPr>
      </w:pPr>
      <w:r>
        <w:rPr>
          <w:rFonts w:ascii="Times New Roman" w:eastAsiaTheme="majorEastAsia" w:hAnsi="Times New Roman" w:cs="Times New Roman"/>
          <w:bCs/>
        </w:rPr>
        <w:t>Se parte del supuesto de que s</w:t>
      </w:r>
      <w:r w:rsidRPr="00B32492">
        <w:rPr>
          <w:rFonts w:ascii="Times New Roman" w:eastAsiaTheme="majorEastAsia" w:hAnsi="Times New Roman" w:cs="Times New Roman"/>
          <w:bCs/>
        </w:rPr>
        <w:t>e generan sinergias entre los Sectores Administrativos de la Administración Pública Federal (APF) y el resto de los actores del Sistema Nacional de Ciencia, Tecnología e Innovación, de tal manera que se incrementa el Gasto en Investigación Científica y Desarrollo Experimental (GIDE).</w:t>
      </w:r>
    </w:p>
    <w:p w14:paraId="748C3CA9" w14:textId="77777777" w:rsidR="008A47EB" w:rsidRDefault="008A47EB" w:rsidP="002C2BC1">
      <w:pPr>
        <w:rPr>
          <w:rFonts w:ascii="Times New Roman" w:hAnsi="Times New Roman" w:cs="Times New Roman"/>
          <w:b/>
          <w:bCs/>
        </w:rPr>
      </w:pPr>
      <w:bookmarkStart w:id="64" w:name="_Toc453749508"/>
    </w:p>
    <w:p w14:paraId="638B432E" w14:textId="7E6E9D0F" w:rsidR="00D83BC4" w:rsidRPr="008A47EB" w:rsidRDefault="00D83BC4" w:rsidP="002C2BC1">
      <w:pPr>
        <w:rPr>
          <w:rFonts w:ascii="Times New Roman" w:hAnsi="Times New Roman" w:cs="Times New Roman"/>
          <w:b/>
          <w:bCs/>
          <w:color w:val="2F5496" w:themeColor="accent1" w:themeShade="BF"/>
        </w:rPr>
      </w:pPr>
      <w:r w:rsidRPr="008A47EB">
        <w:rPr>
          <w:rFonts w:ascii="Times New Roman" w:hAnsi="Times New Roman" w:cs="Times New Roman"/>
          <w:b/>
          <w:bCs/>
          <w:color w:val="2F5496" w:themeColor="accent1" w:themeShade="BF"/>
        </w:rPr>
        <w:t>V.4.3</w:t>
      </w:r>
      <w:r w:rsidR="009458C6" w:rsidRPr="008A47EB">
        <w:rPr>
          <w:rFonts w:ascii="Times New Roman" w:hAnsi="Times New Roman" w:cs="Times New Roman"/>
          <w:b/>
          <w:bCs/>
          <w:color w:val="2F5496" w:themeColor="accent1" w:themeShade="BF"/>
        </w:rPr>
        <w:t xml:space="preserve">. </w:t>
      </w:r>
      <w:r w:rsidRPr="008A47EB">
        <w:rPr>
          <w:rFonts w:ascii="Times New Roman" w:hAnsi="Times New Roman" w:cs="Times New Roman"/>
          <w:b/>
          <w:bCs/>
          <w:color w:val="2F5496" w:themeColor="accent1" w:themeShade="BF"/>
        </w:rPr>
        <w:t>C</w:t>
      </w:r>
      <w:r w:rsidR="009458C6" w:rsidRPr="008A47EB">
        <w:rPr>
          <w:rFonts w:ascii="Times New Roman" w:hAnsi="Times New Roman" w:cs="Times New Roman"/>
          <w:b/>
          <w:bCs/>
          <w:color w:val="2F5496" w:themeColor="accent1" w:themeShade="BF"/>
        </w:rPr>
        <w:t>omponentes</w:t>
      </w:r>
      <w:r w:rsidRPr="008A47EB">
        <w:rPr>
          <w:rFonts w:ascii="Times New Roman" w:hAnsi="Times New Roman" w:cs="Times New Roman"/>
          <w:b/>
          <w:bCs/>
          <w:color w:val="2F5496" w:themeColor="accent1" w:themeShade="BF"/>
        </w:rPr>
        <w:t>:</w:t>
      </w:r>
      <w:bookmarkEnd w:id="64"/>
    </w:p>
    <w:p w14:paraId="5813B414" w14:textId="77777777" w:rsidR="00D83BC4" w:rsidRPr="00D83BC4" w:rsidRDefault="00D83BC4" w:rsidP="008A47EB">
      <w:pPr>
        <w:autoSpaceDE w:val="0"/>
        <w:autoSpaceDN w:val="0"/>
        <w:adjustRightInd w:val="0"/>
        <w:spacing w:before="100" w:beforeAutospacing="1" w:line="360" w:lineRule="auto"/>
        <w:jc w:val="both"/>
        <w:rPr>
          <w:rFonts w:ascii="Times New Roman" w:hAnsi="Times New Roman" w:cs="Times New Roman"/>
        </w:rPr>
      </w:pPr>
      <w:r w:rsidRPr="00D83BC4">
        <w:rPr>
          <w:rFonts w:ascii="Times New Roman" w:hAnsi="Times New Roman" w:cs="Times New Roman"/>
        </w:rPr>
        <w:t>Para lograr el propósito del Programa, se otorgarán apoyos económicos a las instituciones, centros, organismos, empresas públicas, empresas privadas, personas físicas y demás miembros inscritos en el Registro Nacional de Instituciones y Empresas Científicas y Tecnológicas (RENIECYT).</w:t>
      </w:r>
    </w:p>
    <w:p w14:paraId="06F052B0" w14:textId="77777777" w:rsidR="00D83BC4" w:rsidRPr="00D83BC4" w:rsidRDefault="00D83BC4" w:rsidP="00D83BC4">
      <w:pPr>
        <w:autoSpaceDE w:val="0"/>
        <w:autoSpaceDN w:val="0"/>
        <w:adjustRightInd w:val="0"/>
        <w:spacing w:line="360" w:lineRule="auto"/>
        <w:jc w:val="both"/>
        <w:rPr>
          <w:rFonts w:ascii="Times New Roman" w:hAnsi="Times New Roman" w:cs="Times New Roman"/>
        </w:rPr>
      </w:pPr>
    </w:p>
    <w:p w14:paraId="4CA0E13C" w14:textId="77777777" w:rsidR="00D83BC4" w:rsidRPr="00D83BC4" w:rsidRDefault="00D83BC4" w:rsidP="00D83BC4">
      <w:pPr>
        <w:autoSpaceDE w:val="0"/>
        <w:autoSpaceDN w:val="0"/>
        <w:adjustRightInd w:val="0"/>
        <w:spacing w:line="360" w:lineRule="auto"/>
        <w:jc w:val="both"/>
        <w:rPr>
          <w:rFonts w:ascii="Times New Roman" w:hAnsi="Times New Roman" w:cs="Times New Roman"/>
        </w:rPr>
      </w:pPr>
      <w:r w:rsidRPr="00D83BC4">
        <w:rPr>
          <w:rFonts w:ascii="Times New Roman" w:hAnsi="Times New Roman" w:cs="Times New Roman"/>
        </w:rPr>
        <w:t>Con lo anterior, se espera que los Sectores Administrativos de la Administración Pública Federal (APF):</w:t>
      </w:r>
    </w:p>
    <w:p w14:paraId="52ED9695" w14:textId="77777777" w:rsidR="00D83BC4" w:rsidRPr="00D83BC4" w:rsidRDefault="00D83BC4" w:rsidP="00D83BC4">
      <w:pPr>
        <w:autoSpaceDE w:val="0"/>
        <w:autoSpaceDN w:val="0"/>
        <w:adjustRightInd w:val="0"/>
        <w:spacing w:line="360" w:lineRule="auto"/>
        <w:jc w:val="both"/>
        <w:rPr>
          <w:rFonts w:ascii="Times New Roman" w:hAnsi="Times New Roman" w:cs="Times New Roman"/>
        </w:rPr>
      </w:pPr>
    </w:p>
    <w:p w14:paraId="7FB6BF85" w14:textId="77777777" w:rsidR="00D83BC4" w:rsidRPr="00D83BC4" w:rsidRDefault="00D83BC4" w:rsidP="00D83BC4">
      <w:pPr>
        <w:numPr>
          <w:ilvl w:val="0"/>
          <w:numId w:val="24"/>
        </w:numPr>
        <w:autoSpaceDE w:val="0"/>
        <w:autoSpaceDN w:val="0"/>
        <w:adjustRightInd w:val="0"/>
        <w:spacing w:line="360" w:lineRule="auto"/>
        <w:contextualSpacing/>
        <w:jc w:val="both"/>
        <w:rPr>
          <w:rFonts w:ascii="Times New Roman" w:hAnsi="Times New Roman" w:cs="Times New Roman"/>
        </w:rPr>
      </w:pPr>
      <w:r w:rsidRPr="00D83BC4">
        <w:rPr>
          <w:rFonts w:ascii="Times New Roman" w:hAnsi="Times New Roman" w:cs="Times New Roman"/>
        </w:rPr>
        <w:t>Satisfagan sus demandas en materia de Ciencia, Tecnología e Innovación (CTI).</w:t>
      </w:r>
    </w:p>
    <w:p w14:paraId="20DE5904" w14:textId="77777777" w:rsidR="00D83BC4" w:rsidRPr="00D83BC4" w:rsidRDefault="00D83BC4" w:rsidP="00D83BC4">
      <w:pPr>
        <w:numPr>
          <w:ilvl w:val="0"/>
          <w:numId w:val="24"/>
        </w:numPr>
        <w:autoSpaceDE w:val="0"/>
        <w:autoSpaceDN w:val="0"/>
        <w:adjustRightInd w:val="0"/>
        <w:spacing w:line="360" w:lineRule="auto"/>
        <w:contextualSpacing/>
        <w:jc w:val="both"/>
        <w:rPr>
          <w:rFonts w:ascii="Times New Roman" w:hAnsi="Times New Roman" w:cs="Times New Roman"/>
        </w:rPr>
      </w:pPr>
      <w:r w:rsidRPr="00D83BC4">
        <w:rPr>
          <w:rFonts w:ascii="Times New Roman" w:hAnsi="Times New Roman" w:cs="Times New Roman"/>
        </w:rPr>
        <w:t xml:space="preserve">Incrementen las capacidades de sus Recursos Humanos en disciplinas que requieren de </w:t>
      </w:r>
      <w:proofErr w:type="spellStart"/>
      <w:r w:rsidRPr="00D83BC4">
        <w:rPr>
          <w:rFonts w:ascii="Times New Roman" w:hAnsi="Times New Roman" w:cs="Times New Roman"/>
        </w:rPr>
        <w:t>IDTi</w:t>
      </w:r>
      <w:proofErr w:type="spellEnd"/>
      <w:r w:rsidRPr="00D83BC4">
        <w:rPr>
          <w:rFonts w:ascii="Times New Roman" w:hAnsi="Times New Roman" w:cs="Times New Roman"/>
        </w:rPr>
        <w:t>.</w:t>
      </w:r>
    </w:p>
    <w:p w14:paraId="0D09A022" w14:textId="77777777" w:rsidR="00D83BC4" w:rsidRPr="00D83BC4" w:rsidRDefault="00D83BC4" w:rsidP="00D83BC4">
      <w:pPr>
        <w:numPr>
          <w:ilvl w:val="0"/>
          <w:numId w:val="24"/>
        </w:numPr>
        <w:autoSpaceDE w:val="0"/>
        <w:autoSpaceDN w:val="0"/>
        <w:adjustRightInd w:val="0"/>
        <w:spacing w:line="360" w:lineRule="auto"/>
        <w:contextualSpacing/>
        <w:jc w:val="both"/>
        <w:rPr>
          <w:rFonts w:ascii="Times New Roman" w:hAnsi="Times New Roman" w:cs="Times New Roman"/>
        </w:rPr>
      </w:pPr>
      <w:r w:rsidRPr="00D83BC4">
        <w:rPr>
          <w:rFonts w:ascii="Times New Roman" w:hAnsi="Times New Roman" w:cs="Times New Roman"/>
        </w:rPr>
        <w:t xml:space="preserve">Incrementen sus recursos de infraestructura científica/tecnológica para realizar actividades de </w:t>
      </w:r>
      <w:proofErr w:type="spellStart"/>
      <w:r w:rsidRPr="00D83BC4">
        <w:rPr>
          <w:rFonts w:ascii="Times New Roman" w:hAnsi="Times New Roman" w:cs="Times New Roman"/>
        </w:rPr>
        <w:t>IDTi</w:t>
      </w:r>
      <w:proofErr w:type="spellEnd"/>
      <w:r w:rsidRPr="00D83BC4">
        <w:rPr>
          <w:rFonts w:ascii="Times New Roman" w:hAnsi="Times New Roman" w:cs="Times New Roman"/>
        </w:rPr>
        <w:t>.</w:t>
      </w:r>
    </w:p>
    <w:p w14:paraId="4550FC3D" w14:textId="77777777" w:rsidR="00D83BC4" w:rsidRPr="00D83BC4" w:rsidRDefault="00D83BC4" w:rsidP="00D83BC4">
      <w:pPr>
        <w:numPr>
          <w:ilvl w:val="0"/>
          <w:numId w:val="24"/>
        </w:numPr>
        <w:autoSpaceDE w:val="0"/>
        <w:autoSpaceDN w:val="0"/>
        <w:adjustRightInd w:val="0"/>
        <w:spacing w:line="360" w:lineRule="auto"/>
        <w:contextualSpacing/>
        <w:jc w:val="both"/>
        <w:rPr>
          <w:rFonts w:ascii="Times New Roman" w:hAnsi="Times New Roman" w:cs="Times New Roman"/>
        </w:rPr>
      </w:pPr>
      <w:r w:rsidRPr="00D83BC4">
        <w:rPr>
          <w:rFonts w:ascii="Times New Roman" w:hAnsi="Times New Roman" w:cs="Times New Roman"/>
        </w:rPr>
        <w:lastRenderedPageBreak/>
        <w:t xml:space="preserve">Cuenten con más recursos financieros para sostener un sistema de </w:t>
      </w:r>
      <w:proofErr w:type="spellStart"/>
      <w:r w:rsidRPr="00D83BC4">
        <w:rPr>
          <w:rFonts w:ascii="Times New Roman" w:hAnsi="Times New Roman" w:cs="Times New Roman"/>
        </w:rPr>
        <w:t>IDTi</w:t>
      </w:r>
      <w:proofErr w:type="spellEnd"/>
      <w:r w:rsidRPr="00D83BC4">
        <w:rPr>
          <w:rFonts w:ascii="Times New Roman" w:hAnsi="Times New Roman" w:cs="Times New Roman"/>
        </w:rPr>
        <w:t>.</w:t>
      </w:r>
    </w:p>
    <w:p w14:paraId="4EE9795D" w14:textId="77777777" w:rsidR="00D83BC4" w:rsidRPr="00D83BC4" w:rsidRDefault="00D83BC4" w:rsidP="00D83BC4">
      <w:pPr>
        <w:numPr>
          <w:ilvl w:val="0"/>
          <w:numId w:val="24"/>
        </w:numPr>
        <w:autoSpaceDE w:val="0"/>
        <w:autoSpaceDN w:val="0"/>
        <w:adjustRightInd w:val="0"/>
        <w:spacing w:line="360" w:lineRule="auto"/>
        <w:contextualSpacing/>
        <w:jc w:val="both"/>
        <w:rPr>
          <w:rFonts w:ascii="Times New Roman" w:hAnsi="Times New Roman" w:cs="Times New Roman"/>
        </w:rPr>
      </w:pPr>
      <w:r w:rsidRPr="00D83BC4">
        <w:rPr>
          <w:rFonts w:ascii="Times New Roman" w:hAnsi="Times New Roman" w:cs="Times New Roman"/>
        </w:rPr>
        <w:t>Cuenten con un mayor número de desarrollos científicos y tecnológicos.</w:t>
      </w:r>
    </w:p>
    <w:p w14:paraId="6DE1D061" w14:textId="77777777" w:rsidR="00D83BC4" w:rsidRPr="00D83BC4" w:rsidRDefault="00D83BC4" w:rsidP="00D83BC4">
      <w:pPr>
        <w:numPr>
          <w:ilvl w:val="0"/>
          <w:numId w:val="24"/>
        </w:numPr>
        <w:autoSpaceDE w:val="0"/>
        <w:autoSpaceDN w:val="0"/>
        <w:adjustRightInd w:val="0"/>
        <w:spacing w:line="360" w:lineRule="auto"/>
        <w:contextualSpacing/>
        <w:jc w:val="both"/>
        <w:rPr>
          <w:rFonts w:ascii="Times New Roman" w:hAnsi="Times New Roman" w:cs="Times New Roman"/>
        </w:rPr>
      </w:pPr>
      <w:r w:rsidRPr="00D83BC4">
        <w:rPr>
          <w:rFonts w:ascii="Times New Roman" w:hAnsi="Times New Roman" w:cs="Times New Roman"/>
        </w:rPr>
        <w:t xml:space="preserve">Establezcan mecanismos que permitan articular e impulsar las actividades de </w:t>
      </w:r>
      <w:proofErr w:type="spellStart"/>
      <w:r w:rsidRPr="00D83BC4">
        <w:rPr>
          <w:rFonts w:ascii="Times New Roman" w:hAnsi="Times New Roman" w:cs="Times New Roman"/>
        </w:rPr>
        <w:t>IDTi</w:t>
      </w:r>
      <w:proofErr w:type="spellEnd"/>
      <w:r w:rsidRPr="00D83BC4">
        <w:rPr>
          <w:rFonts w:ascii="Times New Roman" w:hAnsi="Times New Roman" w:cs="Times New Roman"/>
        </w:rPr>
        <w:t>.</w:t>
      </w:r>
    </w:p>
    <w:p w14:paraId="0B041326" w14:textId="77777777" w:rsidR="00D83BC4" w:rsidRPr="00D83BC4" w:rsidRDefault="00D83BC4" w:rsidP="00D83BC4">
      <w:pPr>
        <w:autoSpaceDE w:val="0"/>
        <w:autoSpaceDN w:val="0"/>
        <w:adjustRightInd w:val="0"/>
        <w:spacing w:line="360" w:lineRule="auto"/>
        <w:ind w:left="708"/>
        <w:jc w:val="both"/>
        <w:rPr>
          <w:rFonts w:ascii="Times New Roman" w:hAnsi="Times New Roman" w:cs="Times New Roman"/>
        </w:rPr>
      </w:pPr>
    </w:p>
    <w:p w14:paraId="365F60A9" w14:textId="77777777" w:rsidR="00D83BC4" w:rsidRPr="00D83BC4" w:rsidRDefault="00D83BC4" w:rsidP="00D83BC4">
      <w:pPr>
        <w:spacing w:line="360" w:lineRule="auto"/>
        <w:jc w:val="both"/>
        <w:rPr>
          <w:rFonts w:ascii="Times New Roman" w:hAnsi="Times New Roman" w:cs="Times New Roman"/>
        </w:rPr>
      </w:pPr>
      <w:r w:rsidRPr="00D83BC4">
        <w:rPr>
          <w:rFonts w:ascii="Times New Roman" w:hAnsi="Times New Roman" w:cs="Times New Roman"/>
        </w:rPr>
        <w:t>Para medir el cumplimiento de los apoyos económicos otorgados a la población objetivo, se usará como indicador, el “porcentaje de proyectos apoyados económicamente”; el cual será medido por el porcentaje de proyectos apoyados económicamente por los Fondos Sectoriales, respecto al total de propuestas con dictamen aprobatorio de evaluación. Se entenderá por dictamen favorable, el que las propuestas concursantes cumplan con los requisitos y criterios de evaluación establecidos en las convocatorias correspondientes.</w:t>
      </w:r>
    </w:p>
    <w:p w14:paraId="5E811BAA" w14:textId="77777777" w:rsidR="00D83BC4" w:rsidRPr="00D83BC4" w:rsidRDefault="00D83BC4" w:rsidP="00D83BC4">
      <w:pPr>
        <w:spacing w:line="360" w:lineRule="auto"/>
        <w:jc w:val="both"/>
        <w:rPr>
          <w:rFonts w:ascii="Times New Roman" w:hAnsi="Times New Roman" w:cs="Times New Roman"/>
        </w:rPr>
      </w:pPr>
      <w:r w:rsidRPr="00D83BC4">
        <w:rPr>
          <w:rFonts w:ascii="Times New Roman" w:hAnsi="Times New Roman" w:cs="Times New Roman"/>
        </w:rPr>
        <w:t>Para el cumplimiento del indicador, existe el supuesto de que los miembros del Registro Nacional de Instituciones y Empresas Científicas y Tecnológicas (RENIECYT) concluyen satisfactoriamente los proyectos apoyados.</w:t>
      </w:r>
    </w:p>
    <w:p w14:paraId="1A0F3029" w14:textId="77777777" w:rsidR="00D83BC4" w:rsidRPr="00D83BC4" w:rsidRDefault="00D83BC4" w:rsidP="00D83BC4">
      <w:pPr>
        <w:spacing w:line="360" w:lineRule="auto"/>
        <w:jc w:val="both"/>
        <w:rPr>
          <w:rFonts w:ascii="Times New Roman" w:hAnsi="Times New Roman" w:cs="Times New Roman"/>
          <w:lang w:val="es-MX"/>
        </w:rPr>
      </w:pPr>
    </w:p>
    <w:p w14:paraId="53B761D8" w14:textId="0C5ED59C" w:rsidR="00D83BC4" w:rsidRPr="008A47EB" w:rsidRDefault="00D83BC4" w:rsidP="002C2BC1">
      <w:pPr>
        <w:rPr>
          <w:rFonts w:ascii="Times New Roman" w:hAnsi="Times New Roman" w:cs="Times New Roman"/>
          <w:b/>
          <w:bCs/>
          <w:color w:val="2F5496" w:themeColor="accent1" w:themeShade="BF"/>
        </w:rPr>
      </w:pPr>
      <w:bookmarkStart w:id="65" w:name="_Toc453749509"/>
      <w:r w:rsidRPr="008A47EB">
        <w:rPr>
          <w:rFonts w:ascii="Times New Roman" w:hAnsi="Times New Roman" w:cs="Times New Roman"/>
          <w:b/>
          <w:bCs/>
          <w:color w:val="2F5496" w:themeColor="accent1" w:themeShade="BF"/>
        </w:rPr>
        <w:t>V.4.4</w:t>
      </w:r>
      <w:r w:rsidR="009458C6" w:rsidRPr="008A47EB">
        <w:rPr>
          <w:rFonts w:ascii="Times New Roman" w:hAnsi="Times New Roman" w:cs="Times New Roman"/>
          <w:b/>
          <w:bCs/>
          <w:color w:val="2F5496" w:themeColor="accent1" w:themeShade="BF"/>
        </w:rPr>
        <w:t xml:space="preserve">. </w:t>
      </w:r>
      <w:r w:rsidRPr="008A47EB">
        <w:rPr>
          <w:rFonts w:ascii="Times New Roman" w:hAnsi="Times New Roman" w:cs="Times New Roman"/>
          <w:b/>
          <w:bCs/>
          <w:color w:val="2F5496" w:themeColor="accent1" w:themeShade="BF"/>
        </w:rPr>
        <w:t>A</w:t>
      </w:r>
      <w:r w:rsidR="009458C6" w:rsidRPr="008A47EB">
        <w:rPr>
          <w:rFonts w:ascii="Times New Roman" w:hAnsi="Times New Roman" w:cs="Times New Roman"/>
          <w:b/>
          <w:bCs/>
          <w:color w:val="2F5496" w:themeColor="accent1" w:themeShade="BF"/>
        </w:rPr>
        <w:t>ctividades</w:t>
      </w:r>
      <w:r w:rsidRPr="008A47EB">
        <w:rPr>
          <w:rFonts w:ascii="Times New Roman" w:hAnsi="Times New Roman" w:cs="Times New Roman"/>
          <w:b/>
          <w:bCs/>
          <w:color w:val="2F5496" w:themeColor="accent1" w:themeShade="BF"/>
        </w:rPr>
        <w:t>:</w:t>
      </w:r>
      <w:bookmarkEnd w:id="65"/>
    </w:p>
    <w:p w14:paraId="3D318A37" w14:textId="5446549C" w:rsidR="00D83BC4" w:rsidRPr="00D83BC4" w:rsidRDefault="00D83BC4" w:rsidP="008A47EB">
      <w:pPr>
        <w:autoSpaceDE w:val="0"/>
        <w:autoSpaceDN w:val="0"/>
        <w:adjustRightInd w:val="0"/>
        <w:spacing w:before="100" w:beforeAutospacing="1" w:line="360" w:lineRule="auto"/>
        <w:jc w:val="both"/>
        <w:rPr>
          <w:rFonts w:ascii="Times New Roman" w:hAnsi="Times New Roman" w:cs="Times New Roman"/>
          <w:lang w:val="es-MX"/>
        </w:rPr>
      </w:pPr>
      <w:r w:rsidRPr="00D83BC4">
        <w:rPr>
          <w:rFonts w:ascii="Times New Roman" w:hAnsi="Times New Roman" w:cs="Times New Roman"/>
        </w:rPr>
        <w:t xml:space="preserve">Para poder otorgar a la población objetivo apoyos económicos que fortalezcan las capacidades </w:t>
      </w:r>
      <w:r w:rsidRPr="00D83BC4">
        <w:rPr>
          <w:rFonts w:ascii="Times New Roman" w:hAnsi="Times New Roman" w:cs="Times New Roman"/>
          <w:lang w:val="es-MX"/>
        </w:rPr>
        <w:t>Científicas, Tecnológicas y de Innovación (CTI) de los Sectores Administrativos, se realizarán las siguientes actividades:</w:t>
      </w:r>
    </w:p>
    <w:p w14:paraId="3090254A" w14:textId="77777777" w:rsidR="00D83BC4" w:rsidRPr="00D83BC4" w:rsidRDefault="00D83BC4" w:rsidP="00D83BC4">
      <w:pPr>
        <w:spacing w:line="360" w:lineRule="auto"/>
        <w:jc w:val="both"/>
        <w:rPr>
          <w:rFonts w:ascii="Times New Roman" w:hAnsi="Times New Roman" w:cs="Times New Roman"/>
        </w:rPr>
      </w:pPr>
    </w:p>
    <w:p w14:paraId="24F36266" w14:textId="77777777" w:rsidR="00D83BC4" w:rsidRPr="00D83BC4" w:rsidRDefault="00D83BC4" w:rsidP="00D83BC4">
      <w:pPr>
        <w:numPr>
          <w:ilvl w:val="0"/>
          <w:numId w:val="25"/>
        </w:numPr>
        <w:spacing w:line="360" w:lineRule="auto"/>
        <w:contextualSpacing/>
        <w:jc w:val="both"/>
        <w:rPr>
          <w:rFonts w:ascii="Times New Roman" w:hAnsi="Times New Roman" w:cs="Times New Roman"/>
        </w:rPr>
      </w:pPr>
      <w:r w:rsidRPr="00D83BC4">
        <w:rPr>
          <w:rFonts w:ascii="Times New Roman" w:hAnsi="Times New Roman" w:cs="Times New Roman"/>
        </w:rPr>
        <w:t>Se publicarán convocatorias por cada Fondo Sectorial. Dicha actividad tendrá como indicador el “Porcentaje de convocatorias publicadas”, el cual representa el Porcentaje de convocatorias que publican los Fondos Sectoriales en el periodo t, respecto al total de convocatorias programadas para el periodo t”.</w:t>
      </w:r>
    </w:p>
    <w:p w14:paraId="2812A6B7" w14:textId="36E5BB86" w:rsidR="00D83BC4" w:rsidRDefault="00D83BC4" w:rsidP="00D83BC4">
      <w:pPr>
        <w:numPr>
          <w:ilvl w:val="0"/>
          <w:numId w:val="25"/>
        </w:numPr>
        <w:spacing w:line="360" w:lineRule="auto"/>
        <w:contextualSpacing/>
        <w:jc w:val="both"/>
        <w:rPr>
          <w:rFonts w:ascii="Times New Roman" w:hAnsi="Times New Roman" w:cs="Times New Roman"/>
        </w:rPr>
      </w:pPr>
      <w:r w:rsidRPr="00D83BC4">
        <w:rPr>
          <w:rFonts w:ascii="Times New Roman" w:hAnsi="Times New Roman" w:cs="Times New Roman"/>
        </w:rPr>
        <w:t xml:space="preserve">Se evaluarán las propuestas ingresadas a través de cada convocatoria.  Su medición será a través del indicador “Porcentaje de convocatorias publicadas”, medida por el porcentaje de convocatorias con el total de propuestas dictaminadas por parte de la Comisión de Evaluación </w:t>
      </w:r>
      <w:r w:rsidRPr="00D83BC4">
        <w:rPr>
          <w:rFonts w:ascii="Times New Roman" w:hAnsi="Times New Roman" w:cs="Times New Roman"/>
        </w:rPr>
        <w:lastRenderedPageBreak/>
        <w:t>realizada dentro de los 90 días naturales posteriores al cierre de la convocatoria en el periodo t, respecto del total de convocatorias publicadas en el periodo t.</w:t>
      </w:r>
    </w:p>
    <w:p w14:paraId="2657E5D6" w14:textId="77777777" w:rsidR="008A47EB" w:rsidRPr="00D83BC4" w:rsidRDefault="008A47EB" w:rsidP="008A47EB">
      <w:pPr>
        <w:spacing w:line="360" w:lineRule="auto"/>
        <w:ind w:left="720"/>
        <w:contextualSpacing/>
        <w:jc w:val="both"/>
        <w:rPr>
          <w:rFonts w:ascii="Times New Roman" w:hAnsi="Times New Roman" w:cs="Times New Roman"/>
        </w:rPr>
      </w:pPr>
    </w:p>
    <w:p w14:paraId="6E929524" w14:textId="15191AA3" w:rsidR="00D83BC4" w:rsidRDefault="00D83BC4" w:rsidP="00D83BC4">
      <w:pPr>
        <w:numPr>
          <w:ilvl w:val="0"/>
          <w:numId w:val="25"/>
        </w:numPr>
        <w:spacing w:line="360" w:lineRule="auto"/>
        <w:contextualSpacing/>
        <w:jc w:val="both"/>
        <w:rPr>
          <w:rFonts w:ascii="Times New Roman" w:hAnsi="Times New Roman" w:cs="Times New Roman"/>
        </w:rPr>
      </w:pPr>
      <w:r w:rsidRPr="00D83BC4">
        <w:rPr>
          <w:rFonts w:ascii="Times New Roman" w:hAnsi="Times New Roman" w:cs="Times New Roman"/>
        </w:rPr>
        <w:t>Las propuestas ingresadas y que fueron aprobadas por el CTA del Fondo, serán formalizadas mediante un Convenio de Asignación de Recursos. Para medir dicha actividad se utilizará el indicador “Porcentaje de convocatorias formalizadas en tiempo”, el cual se medirá a través del porcentaje de convocatorias que formalizan el 80% de los proyectos dentro de los 90 días naturales -partiendo de la fecha en que se publican los resultados-, con respecto al total de convocatorias con proyectos aprobados por el Comité Técnico y de Administración.</w:t>
      </w:r>
    </w:p>
    <w:p w14:paraId="7F1F9529" w14:textId="77777777" w:rsidR="008A47EB" w:rsidRPr="00D83BC4" w:rsidRDefault="008A47EB" w:rsidP="008A47EB">
      <w:pPr>
        <w:spacing w:line="360" w:lineRule="auto"/>
        <w:contextualSpacing/>
        <w:jc w:val="both"/>
        <w:rPr>
          <w:rFonts w:ascii="Times New Roman" w:hAnsi="Times New Roman" w:cs="Times New Roman"/>
        </w:rPr>
      </w:pPr>
    </w:p>
    <w:p w14:paraId="08707E0B" w14:textId="77777777" w:rsidR="00D83BC4" w:rsidRPr="00D83BC4" w:rsidRDefault="00D83BC4" w:rsidP="00D83BC4">
      <w:pPr>
        <w:numPr>
          <w:ilvl w:val="0"/>
          <w:numId w:val="25"/>
        </w:numPr>
        <w:spacing w:line="360" w:lineRule="auto"/>
        <w:contextualSpacing/>
        <w:jc w:val="both"/>
        <w:rPr>
          <w:rFonts w:ascii="Times New Roman" w:hAnsi="Times New Roman" w:cs="Times New Roman"/>
        </w:rPr>
      </w:pPr>
      <w:r w:rsidRPr="00D83BC4">
        <w:rPr>
          <w:rFonts w:ascii="Times New Roman" w:hAnsi="Times New Roman" w:cs="Times New Roman"/>
        </w:rPr>
        <w:t>Por último, se realizará el seguimiento técnico de los proyectos formalizados, a través de la entrega de informes técnicos por parte de los Sujetos de Apoyo, cuyo propósito es el verificar el cumplimiento de sus objetivos, metas, actividades y presupuesto establecidos en el CAR. Para medir dicha actividad, se utilizará el indicador “Porcentaje de proyectos enviados a dictaminar”, el cual medirá el porcentaje de proyectos apoyados por los Fondos Sectoriales que envían a dictaminar el informe técnico en tiempo y forma.</w:t>
      </w:r>
    </w:p>
    <w:p w14:paraId="5EA01821" w14:textId="77777777" w:rsidR="00D83BC4" w:rsidRPr="00D83BC4" w:rsidRDefault="00D83BC4" w:rsidP="00D83BC4">
      <w:pPr>
        <w:spacing w:line="360" w:lineRule="auto"/>
        <w:jc w:val="both"/>
        <w:rPr>
          <w:rFonts w:ascii="Times New Roman" w:hAnsi="Times New Roman" w:cs="Times New Roman"/>
        </w:rPr>
      </w:pPr>
    </w:p>
    <w:p w14:paraId="3ECA834E" w14:textId="77777777" w:rsidR="00D83BC4" w:rsidRPr="00D83BC4" w:rsidRDefault="00D83BC4" w:rsidP="00D83BC4">
      <w:pPr>
        <w:spacing w:line="360" w:lineRule="auto"/>
        <w:jc w:val="both"/>
        <w:rPr>
          <w:rFonts w:ascii="Times New Roman" w:hAnsi="Times New Roman" w:cs="Times New Roman"/>
        </w:rPr>
      </w:pPr>
      <w:r w:rsidRPr="00D83BC4">
        <w:rPr>
          <w:rFonts w:ascii="Times New Roman" w:hAnsi="Times New Roman" w:cs="Times New Roman"/>
        </w:rPr>
        <w:t>Los factores externos que se encuentran fuera del control del Programa e inciden en el cumplimiento de las actividades son que:</w:t>
      </w:r>
    </w:p>
    <w:p w14:paraId="7A1C0E97" w14:textId="77777777" w:rsidR="00D83BC4" w:rsidRPr="00D83BC4" w:rsidRDefault="00D83BC4" w:rsidP="00D83BC4">
      <w:pPr>
        <w:spacing w:line="360" w:lineRule="auto"/>
        <w:jc w:val="both"/>
        <w:rPr>
          <w:rFonts w:ascii="Times New Roman" w:hAnsi="Times New Roman" w:cs="Times New Roman"/>
        </w:rPr>
      </w:pPr>
    </w:p>
    <w:p w14:paraId="2168AD18" w14:textId="77777777" w:rsidR="00D83BC4" w:rsidRPr="00D83BC4" w:rsidRDefault="00D83BC4" w:rsidP="00D83BC4">
      <w:pPr>
        <w:numPr>
          <w:ilvl w:val="0"/>
          <w:numId w:val="26"/>
        </w:numPr>
        <w:spacing w:line="360" w:lineRule="auto"/>
        <w:contextualSpacing/>
        <w:jc w:val="both"/>
        <w:rPr>
          <w:rFonts w:ascii="Times New Roman" w:hAnsi="Times New Roman" w:cs="Times New Roman"/>
        </w:rPr>
      </w:pPr>
      <w:r w:rsidRPr="00D83BC4">
        <w:rPr>
          <w:rFonts w:ascii="Times New Roman" w:hAnsi="Times New Roman" w:cs="Times New Roman"/>
        </w:rPr>
        <w:t xml:space="preserve">Los Sectores Administrativos de la Administración Pública Federal (APF) definan oportunamente las demandas en materia de Ciencia, Tecnología e Innovación (CTI) para su correspondiente publicación en las convocatorias. </w:t>
      </w:r>
    </w:p>
    <w:p w14:paraId="47C53D79" w14:textId="77777777" w:rsidR="00D83BC4" w:rsidRPr="00D83BC4" w:rsidRDefault="00D83BC4" w:rsidP="00D83BC4">
      <w:pPr>
        <w:numPr>
          <w:ilvl w:val="0"/>
          <w:numId w:val="26"/>
        </w:numPr>
        <w:spacing w:line="360" w:lineRule="auto"/>
        <w:contextualSpacing/>
        <w:jc w:val="both"/>
        <w:rPr>
          <w:rFonts w:ascii="Times New Roman" w:hAnsi="Times New Roman" w:cs="Times New Roman"/>
        </w:rPr>
      </w:pPr>
      <w:r w:rsidRPr="00D83BC4">
        <w:rPr>
          <w:rFonts w:ascii="Times New Roman" w:hAnsi="Times New Roman" w:cs="Times New Roman"/>
        </w:rPr>
        <w:t>Los miembros del Registro Nacional de Instituciones y Empresas Científicas y Tecnológicas (RENIECYT) participen en las convocatorias publicadas.</w:t>
      </w:r>
    </w:p>
    <w:p w14:paraId="74D416EE" w14:textId="77777777" w:rsidR="00D83BC4" w:rsidRPr="00D83BC4" w:rsidRDefault="00D83BC4" w:rsidP="00D83BC4">
      <w:pPr>
        <w:numPr>
          <w:ilvl w:val="0"/>
          <w:numId w:val="26"/>
        </w:numPr>
        <w:spacing w:line="360" w:lineRule="auto"/>
        <w:contextualSpacing/>
        <w:jc w:val="both"/>
        <w:rPr>
          <w:rFonts w:ascii="Times New Roman" w:hAnsi="Times New Roman" w:cs="Times New Roman"/>
        </w:rPr>
      </w:pPr>
      <w:r w:rsidRPr="00D83BC4">
        <w:rPr>
          <w:rFonts w:ascii="Times New Roman" w:hAnsi="Times New Roman" w:cs="Times New Roman"/>
        </w:rPr>
        <w:t xml:space="preserve">Se cuenten con evaluadores suficientes para los procesos de evaluación de todas las convocatorias. </w:t>
      </w:r>
    </w:p>
    <w:p w14:paraId="0780AFB6" w14:textId="77777777" w:rsidR="00D83BC4" w:rsidRPr="00D83BC4" w:rsidRDefault="00D83BC4" w:rsidP="00D83BC4">
      <w:pPr>
        <w:numPr>
          <w:ilvl w:val="0"/>
          <w:numId w:val="26"/>
        </w:numPr>
        <w:spacing w:line="360" w:lineRule="auto"/>
        <w:contextualSpacing/>
        <w:jc w:val="both"/>
        <w:rPr>
          <w:rFonts w:ascii="Times New Roman" w:hAnsi="Times New Roman" w:cs="Times New Roman"/>
        </w:rPr>
      </w:pPr>
      <w:r w:rsidRPr="00D83BC4">
        <w:rPr>
          <w:rFonts w:ascii="Times New Roman" w:hAnsi="Times New Roman" w:cs="Times New Roman"/>
        </w:rPr>
        <w:lastRenderedPageBreak/>
        <w:t>Exista disponibilidad de agenda y participación de los integrantes de los órganos colegiados de todos los fondos sectoriales.</w:t>
      </w:r>
    </w:p>
    <w:p w14:paraId="6EE18758" w14:textId="77777777" w:rsidR="00D83BC4" w:rsidRPr="00D83BC4" w:rsidRDefault="00D83BC4" w:rsidP="00D83BC4">
      <w:pPr>
        <w:numPr>
          <w:ilvl w:val="0"/>
          <w:numId w:val="26"/>
        </w:numPr>
        <w:spacing w:line="360" w:lineRule="auto"/>
        <w:contextualSpacing/>
        <w:jc w:val="both"/>
        <w:rPr>
          <w:rFonts w:ascii="Times New Roman" w:hAnsi="Times New Roman" w:cs="Times New Roman"/>
        </w:rPr>
      </w:pPr>
      <w:r w:rsidRPr="00D83BC4">
        <w:rPr>
          <w:rFonts w:ascii="Times New Roman" w:hAnsi="Times New Roman" w:cs="Times New Roman"/>
        </w:rPr>
        <w:t>Se cuente con los recursos humanos, materiales y financieros para realizar las actividades de seguimiento técnico y visitas in situ.</w:t>
      </w:r>
    </w:p>
    <w:p w14:paraId="5D123DF1" w14:textId="77777777" w:rsidR="00D83BC4" w:rsidRPr="00D83BC4" w:rsidRDefault="00D83BC4" w:rsidP="00D83BC4">
      <w:pPr>
        <w:spacing w:line="360" w:lineRule="auto"/>
        <w:jc w:val="both"/>
        <w:rPr>
          <w:rFonts w:ascii="Times New Roman" w:hAnsi="Times New Roman" w:cs="Times New Roman"/>
        </w:rPr>
      </w:pPr>
    </w:p>
    <w:p w14:paraId="1FDF33E0" w14:textId="77777777" w:rsidR="00D83BC4" w:rsidRPr="00D83BC4" w:rsidRDefault="00D83BC4" w:rsidP="00D83BC4">
      <w:pPr>
        <w:spacing w:line="360" w:lineRule="auto"/>
        <w:jc w:val="both"/>
        <w:rPr>
          <w:rFonts w:ascii="Times New Roman" w:hAnsi="Times New Roman" w:cs="Times New Roman"/>
        </w:rPr>
      </w:pPr>
      <w:r w:rsidRPr="00D83BC4">
        <w:rPr>
          <w:rFonts w:ascii="Times New Roman" w:hAnsi="Times New Roman" w:cs="Times New Roman"/>
        </w:rPr>
        <w:t>De esta forma, podemos apreciar que cumpliéndose con cada uno de los supuestos señalados, s</w:t>
      </w:r>
      <w:r w:rsidRPr="00D83BC4">
        <w:rPr>
          <w:rFonts w:ascii="Times New Roman" w:eastAsia="Times New Roman" w:hAnsi="Times New Roman" w:cs="Times New Roman"/>
          <w:lang w:val="es-MX" w:eastAsia="es-MX"/>
        </w:rPr>
        <w:t xml:space="preserve">i se publican las convocatorias, se evalúan las propuestas, se formalizan y se lleva a cabo un seguimiento a los proyectos, de tal forma que permita finiquitar aquellos que cuenten con dictámenes técnicos y financieros aprobados; los apoyos económicos otorgados a las instituciones, centros, organismos, empresas públicas, empresas privadas, personas físicas y demás miembros inscritos  del RENIECYT,  estarían </w:t>
      </w:r>
      <w:r w:rsidRPr="00D83BC4">
        <w:rPr>
          <w:rFonts w:ascii="Times New Roman" w:hAnsi="Times New Roman" w:cs="Times New Roman"/>
        </w:rPr>
        <w:t>satisfaciendo las demandas específicas en materia de Ciencia, Tecnología e Innovación (CTI) e incrementando  las capacidades en recurso humano e infraestructura científica/tecnológica  de los Sectores Administrativos de la Administración Pública Federal (APF).</w:t>
      </w:r>
    </w:p>
    <w:p w14:paraId="50D5CC60" w14:textId="77777777" w:rsidR="00D83BC4" w:rsidRPr="00D83BC4" w:rsidRDefault="00D83BC4" w:rsidP="00D83BC4">
      <w:pPr>
        <w:spacing w:line="360" w:lineRule="auto"/>
        <w:jc w:val="both"/>
        <w:rPr>
          <w:rFonts w:ascii="Times New Roman" w:hAnsi="Times New Roman" w:cs="Times New Roman"/>
        </w:rPr>
      </w:pPr>
    </w:p>
    <w:p w14:paraId="350E5AF6" w14:textId="77777777" w:rsidR="00D83BC4" w:rsidRPr="00D83BC4" w:rsidRDefault="00D83BC4" w:rsidP="00D83BC4">
      <w:pPr>
        <w:autoSpaceDE w:val="0"/>
        <w:autoSpaceDN w:val="0"/>
        <w:adjustRightInd w:val="0"/>
        <w:spacing w:line="360" w:lineRule="auto"/>
        <w:jc w:val="both"/>
        <w:rPr>
          <w:rFonts w:ascii="Times New Roman" w:hAnsi="Times New Roman" w:cs="Times New Roman"/>
          <w:lang w:val="es-MX"/>
        </w:rPr>
      </w:pPr>
      <w:r w:rsidRPr="00D83BC4">
        <w:rPr>
          <w:rFonts w:ascii="Times New Roman" w:hAnsi="Times New Roman" w:cs="Times New Roman"/>
        </w:rPr>
        <w:t xml:space="preserve">De igual forma, les permitirá, a los Sectores Administrativos, contar con más recursos financieros para sostener un sistema de </w:t>
      </w:r>
      <w:proofErr w:type="spellStart"/>
      <w:r w:rsidRPr="00D83BC4">
        <w:rPr>
          <w:rFonts w:ascii="Times New Roman" w:hAnsi="Times New Roman" w:cs="Times New Roman"/>
        </w:rPr>
        <w:t>IDTi</w:t>
      </w:r>
      <w:proofErr w:type="spellEnd"/>
      <w:r w:rsidRPr="00D83BC4">
        <w:rPr>
          <w:rFonts w:ascii="Times New Roman" w:hAnsi="Times New Roman" w:cs="Times New Roman"/>
        </w:rPr>
        <w:t xml:space="preserve">, desarrollar un mayor número de proyectos científicos y tecnológicos, y establecer mecanismos que les permitan articular e impulsar las actividades de </w:t>
      </w:r>
      <w:proofErr w:type="spellStart"/>
      <w:r w:rsidRPr="00D83BC4">
        <w:rPr>
          <w:rFonts w:ascii="Times New Roman" w:hAnsi="Times New Roman" w:cs="Times New Roman"/>
        </w:rPr>
        <w:t>IDTi</w:t>
      </w:r>
      <w:proofErr w:type="spellEnd"/>
      <w:r w:rsidRPr="00D83BC4">
        <w:rPr>
          <w:rFonts w:ascii="Times New Roman" w:hAnsi="Times New Roman" w:cs="Times New Roman"/>
        </w:rPr>
        <w:t xml:space="preserve">; y con todo ello, se estarían </w:t>
      </w:r>
      <w:r w:rsidRPr="00D83BC4">
        <w:rPr>
          <w:rFonts w:ascii="Times New Roman" w:hAnsi="Times New Roman" w:cs="Times New Roman"/>
          <w:lang w:val="es-MX"/>
        </w:rPr>
        <w:t>fortaleciendo sus capacidades Científicas, Tecnológicas y de Innovación (CTI).</w:t>
      </w:r>
    </w:p>
    <w:p w14:paraId="02C47247" w14:textId="77777777" w:rsidR="00D83BC4" w:rsidRPr="00D83BC4" w:rsidRDefault="00D83BC4" w:rsidP="00D83BC4">
      <w:pPr>
        <w:autoSpaceDE w:val="0"/>
        <w:autoSpaceDN w:val="0"/>
        <w:adjustRightInd w:val="0"/>
        <w:spacing w:line="360" w:lineRule="auto"/>
        <w:jc w:val="both"/>
        <w:rPr>
          <w:rFonts w:ascii="Times New Roman" w:hAnsi="Times New Roman" w:cs="Times New Roman"/>
          <w:lang w:val="es-MX"/>
        </w:rPr>
      </w:pPr>
    </w:p>
    <w:p w14:paraId="4560B847" w14:textId="77777777" w:rsidR="00D83BC4" w:rsidRPr="00D83BC4" w:rsidRDefault="00D83BC4" w:rsidP="00D83BC4">
      <w:pPr>
        <w:autoSpaceDE w:val="0"/>
        <w:autoSpaceDN w:val="0"/>
        <w:adjustRightInd w:val="0"/>
        <w:spacing w:line="360" w:lineRule="auto"/>
        <w:jc w:val="both"/>
        <w:rPr>
          <w:rFonts w:ascii="Times New Roman" w:hAnsi="Times New Roman" w:cs="Times New Roman"/>
          <w:lang w:val="es-MX"/>
        </w:rPr>
      </w:pPr>
      <w:r w:rsidRPr="00D83BC4">
        <w:rPr>
          <w:rFonts w:ascii="Times New Roman" w:hAnsi="Times New Roman" w:cs="Times New Roman"/>
          <w:lang w:val="es-MX"/>
        </w:rPr>
        <w:t>Al fortalecer las capacidades científicas, tecnológicas y de innovación de los Sectores Administrativos de la Administración Pública Federal (APF), se contribuye a impulsar la educación científica y tecnológica como elemento indispensable para la transformación de México en una sociedad del conocimiento.</w:t>
      </w:r>
    </w:p>
    <w:p w14:paraId="2A8A5543" w14:textId="77777777" w:rsidR="00D83BC4" w:rsidRPr="00D83BC4" w:rsidRDefault="00D83BC4" w:rsidP="00D83BC4">
      <w:pPr>
        <w:spacing w:line="360" w:lineRule="auto"/>
        <w:jc w:val="both"/>
        <w:rPr>
          <w:rFonts w:ascii="Times New Roman" w:hAnsi="Times New Roman" w:cs="Times New Roman"/>
        </w:rPr>
      </w:pPr>
    </w:p>
    <w:p w14:paraId="17F5B12D" w14:textId="26D94A13" w:rsidR="00D83BC4" w:rsidRPr="00D83BC4" w:rsidRDefault="00D83BC4" w:rsidP="00D83BC4">
      <w:pPr>
        <w:spacing w:line="360" w:lineRule="auto"/>
        <w:jc w:val="both"/>
        <w:rPr>
          <w:rFonts w:ascii="Times New Roman" w:hAnsi="Times New Roman" w:cs="Times New Roman"/>
        </w:rPr>
      </w:pPr>
      <w:r w:rsidRPr="00D83BC4">
        <w:rPr>
          <w:rFonts w:ascii="Times New Roman" w:hAnsi="Times New Roman" w:cs="Times New Roman"/>
        </w:rPr>
        <w:t xml:space="preserve">De esta forma, podemos apreciar en Tabla </w:t>
      </w:r>
      <w:r w:rsidR="008C4E0F">
        <w:rPr>
          <w:rFonts w:ascii="Times New Roman" w:hAnsi="Times New Roman" w:cs="Times New Roman"/>
        </w:rPr>
        <w:t>5</w:t>
      </w:r>
      <w:r w:rsidRPr="00D83BC4">
        <w:rPr>
          <w:rFonts w:ascii="Times New Roman" w:hAnsi="Times New Roman" w:cs="Times New Roman"/>
        </w:rPr>
        <w:t>, los principales elementos que componen a la MIR:</w:t>
      </w:r>
    </w:p>
    <w:p w14:paraId="479AC9EA" w14:textId="130E0D51" w:rsidR="00D83BC4" w:rsidRDefault="00D83BC4" w:rsidP="00D83BC4">
      <w:pPr>
        <w:autoSpaceDE w:val="0"/>
        <w:autoSpaceDN w:val="0"/>
        <w:adjustRightInd w:val="0"/>
        <w:jc w:val="both"/>
        <w:rPr>
          <w:rFonts w:ascii="Arial" w:hAnsi="Arial" w:cs="Arial"/>
        </w:rPr>
      </w:pPr>
    </w:p>
    <w:p w14:paraId="1D2197B2" w14:textId="2CC55524" w:rsidR="008A47EB" w:rsidRDefault="008A47EB" w:rsidP="00D83BC4">
      <w:pPr>
        <w:autoSpaceDE w:val="0"/>
        <w:autoSpaceDN w:val="0"/>
        <w:adjustRightInd w:val="0"/>
        <w:jc w:val="both"/>
        <w:rPr>
          <w:rFonts w:ascii="Arial" w:hAnsi="Arial" w:cs="Arial"/>
        </w:rPr>
      </w:pPr>
    </w:p>
    <w:p w14:paraId="296018E0" w14:textId="66A71833" w:rsidR="008A47EB" w:rsidRDefault="008A47EB" w:rsidP="00D83BC4">
      <w:pPr>
        <w:autoSpaceDE w:val="0"/>
        <w:autoSpaceDN w:val="0"/>
        <w:adjustRightInd w:val="0"/>
        <w:jc w:val="both"/>
        <w:rPr>
          <w:rFonts w:ascii="Arial" w:hAnsi="Arial" w:cs="Arial"/>
        </w:rPr>
      </w:pPr>
    </w:p>
    <w:p w14:paraId="335839AA" w14:textId="77777777" w:rsidR="008A47EB" w:rsidRPr="00D83BC4" w:rsidRDefault="008A47EB" w:rsidP="00D83BC4">
      <w:pPr>
        <w:autoSpaceDE w:val="0"/>
        <w:autoSpaceDN w:val="0"/>
        <w:adjustRightInd w:val="0"/>
        <w:jc w:val="both"/>
        <w:rPr>
          <w:rFonts w:ascii="Arial" w:hAnsi="Arial" w:cs="Arial"/>
        </w:rPr>
      </w:pPr>
    </w:p>
    <w:p w14:paraId="1840E330" w14:textId="6207B5A1" w:rsidR="00D83BC4" w:rsidRPr="00B25602" w:rsidRDefault="00D83BC4" w:rsidP="00B25602">
      <w:pPr>
        <w:spacing w:line="360" w:lineRule="auto"/>
        <w:jc w:val="center"/>
        <w:rPr>
          <w:rFonts w:ascii="Times New Roman" w:hAnsi="Times New Roman" w:cs="Times New Roman"/>
          <w:b/>
          <w:color w:val="44546A" w:themeColor="text2"/>
        </w:rPr>
      </w:pPr>
      <w:r w:rsidRPr="00B25602">
        <w:rPr>
          <w:rFonts w:ascii="Times New Roman" w:hAnsi="Times New Roman" w:cs="Times New Roman"/>
          <w:b/>
          <w:color w:val="44546A" w:themeColor="text2"/>
        </w:rPr>
        <w:lastRenderedPageBreak/>
        <w:t xml:space="preserve">Tabla </w:t>
      </w:r>
      <w:r w:rsidR="008C4E0F" w:rsidRPr="00B25602">
        <w:rPr>
          <w:rFonts w:ascii="Times New Roman" w:hAnsi="Times New Roman" w:cs="Times New Roman"/>
          <w:b/>
          <w:color w:val="44546A" w:themeColor="text2"/>
        </w:rPr>
        <w:t>5</w:t>
      </w:r>
      <w:r w:rsidRPr="00B25602">
        <w:rPr>
          <w:rFonts w:ascii="Times New Roman" w:hAnsi="Times New Roman" w:cs="Times New Roman"/>
          <w:b/>
          <w:color w:val="44546A" w:themeColor="text2"/>
        </w:rPr>
        <w:t>.</w:t>
      </w:r>
      <w:r w:rsidR="008C4E0F" w:rsidRPr="00B25602">
        <w:rPr>
          <w:rFonts w:ascii="Times New Roman" w:hAnsi="Times New Roman" w:cs="Times New Roman"/>
          <w:b/>
          <w:color w:val="44546A" w:themeColor="text2"/>
        </w:rPr>
        <w:t xml:space="preserve"> </w:t>
      </w:r>
      <w:r w:rsidRPr="00B25602">
        <w:rPr>
          <w:rFonts w:ascii="Times New Roman" w:hAnsi="Times New Roman" w:cs="Times New Roman"/>
          <w:b/>
          <w:color w:val="44546A" w:themeColor="text2"/>
        </w:rPr>
        <w:t>Elementos que componen la MIR</w:t>
      </w:r>
    </w:p>
    <w:tbl>
      <w:tblPr>
        <w:tblStyle w:val="Tablaconcuadrcula"/>
        <w:tblW w:w="5000" w:type="pct"/>
        <w:tblInd w:w="0" w:type="dxa"/>
        <w:tblLook w:val="04A0" w:firstRow="1" w:lastRow="0" w:firstColumn="1" w:lastColumn="0" w:noHBand="0" w:noVBand="1"/>
      </w:tblPr>
      <w:tblGrid>
        <w:gridCol w:w="1124"/>
        <w:gridCol w:w="1280"/>
        <w:gridCol w:w="1334"/>
        <w:gridCol w:w="4944"/>
        <w:gridCol w:w="1280"/>
      </w:tblGrid>
      <w:tr w:rsidR="00D83BC4" w:rsidRPr="00D83BC4" w14:paraId="1414EA69" w14:textId="77777777" w:rsidTr="008922A3">
        <w:trPr>
          <w:trHeight w:val="570"/>
          <w:tblHeader/>
        </w:trPr>
        <w:tc>
          <w:tcPr>
            <w:tcW w:w="564" w:type="pct"/>
            <w:shd w:val="clear" w:color="auto" w:fill="1F3864" w:themeFill="accent1" w:themeFillShade="80"/>
            <w:vAlign w:val="center"/>
          </w:tcPr>
          <w:p w14:paraId="0C585F5D" w14:textId="7FF9E692" w:rsidR="00D83BC4" w:rsidRPr="002E2BCF" w:rsidRDefault="008922A3" w:rsidP="008922A3">
            <w:pPr>
              <w:jc w:val="center"/>
              <w:rPr>
                <w:rFonts w:ascii="Times New Roman" w:hAnsi="Times New Roman" w:cs="Times New Roman"/>
                <w:b/>
                <w:color w:val="FFFFFF" w:themeColor="background1"/>
                <w:sz w:val="20"/>
                <w:szCs w:val="20"/>
              </w:rPr>
            </w:pPr>
            <w:r w:rsidRPr="002E2BCF">
              <w:rPr>
                <w:rFonts w:ascii="Times New Roman" w:hAnsi="Times New Roman" w:cs="Times New Roman"/>
                <w:b/>
                <w:color w:val="FFFFFF" w:themeColor="background1"/>
                <w:sz w:val="20"/>
                <w:szCs w:val="20"/>
              </w:rPr>
              <w:t>Nivel</w:t>
            </w:r>
          </w:p>
        </w:tc>
        <w:tc>
          <w:tcPr>
            <w:tcW w:w="642" w:type="pct"/>
            <w:shd w:val="clear" w:color="auto" w:fill="1F3864" w:themeFill="accent1" w:themeFillShade="80"/>
            <w:vAlign w:val="center"/>
          </w:tcPr>
          <w:p w14:paraId="354F2BBB" w14:textId="77777777" w:rsidR="00D83BC4" w:rsidRPr="002E2BCF" w:rsidRDefault="00D83BC4" w:rsidP="008922A3">
            <w:pPr>
              <w:jc w:val="center"/>
              <w:rPr>
                <w:rFonts w:ascii="Times New Roman" w:hAnsi="Times New Roman" w:cs="Times New Roman"/>
                <w:b/>
                <w:color w:val="FFFFFF" w:themeColor="background1"/>
                <w:sz w:val="20"/>
                <w:szCs w:val="20"/>
              </w:rPr>
            </w:pPr>
            <w:r w:rsidRPr="002E2BCF">
              <w:rPr>
                <w:rFonts w:ascii="Times New Roman" w:hAnsi="Times New Roman" w:cs="Times New Roman"/>
                <w:b/>
                <w:color w:val="FFFFFF" w:themeColor="background1"/>
                <w:sz w:val="20"/>
                <w:szCs w:val="20"/>
              </w:rPr>
              <w:t>Objetivo</w:t>
            </w:r>
          </w:p>
        </w:tc>
        <w:tc>
          <w:tcPr>
            <w:tcW w:w="670" w:type="pct"/>
            <w:shd w:val="clear" w:color="auto" w:fill="1F3864" w:themeFill="accent1" w:themeFillShade="80"/>
            <w:vAlign w:val="center"/>
          </w:tcPr>
          <w:p w14:paraId="394D8092" w14:textId="77777777" w:rsidR="00D83BC4" w:rsidRPr="002E2BCF" w:rsidRDefault="00D83BC4" w:rsidP="008922A3">
            <w:pPr>
              <w:jc w:val="center"/>
              <w:rPr>
                <w:rFonts w:ascii="Times New Roman" w:hAnsi="Times New Roman" w:cs="Times New Roman"/>
                <w:b/>
                <w:color w:val="FFFFFF" w:themeColor="background1"/>
                <w:sz w:val="20"/>
                <w:szCs w:val="20"/>
              </w:rPr>
            </w:pPr>
            <w:r w:rsidRPr="002E2BCF">
              <w:rPr>
                <w:rFonts w:ascii="Times New Roman" w:hAnsi="Times New Roman" w:cs="Times New Roman"/>
                <w:b/>
                <w:color w:val="FFFFFF" w:themeColor="background1"/>
                <w:sz w:val="20"/>
                <w:szCs w:val="20"/>
              </w:rPr>
              <w:t>Indicadores</w:t>
            </w:r>
          </w:p>
        </w:tc>
        <w:tc>
          <w:tcPr>
            <w:tcW w:w="2177" w:type="pct"/>
            <w:shd w:val="clear" w:color="auto" w:fill="1F3864" w:themeFill="accent1" w:themeFillShade="80"/>
            <w:vAlign w:val="center"/>
          </w:tcPr>
          <w:p w14:paraId="6D4A407F" w14:textId="77777777" w:rsidR="00D83BC4" w:rsidRPr="002E2BCF" w:rsidRDefault="00D83BC4" w:rsidP="008922A3">
            <w:pPr>
              <w:jc w:val="center"/>
              <w:rPr>
                <w:rFonts w:ascii="Times New Roman" w:hAnsi="Times New Roman" w:cs="Times New Roman"/>
                <w:b/>
                <w:color w:val="FFFFFF" w:themeColor="background1"/>
                <w:sz w:val="20"/>
                <w:szCs w:val="20"/>
              </w:rPr>
            </w:pPr>
            <w:r w:rsidRPr="002E2BCF">
              <w:rPr>
                <w:rFonts w:ascii="Times New Roman" w:hAnsi="Times New Roman" w:cs="Times New Roman"/>
                <w:b/>
                <w:color w:val="FFFFFF" w:themeColor="background1"/>
                <w:sz w:val="20"/>
                <w:szCs w:val="20"/>
              </w:rPr>
              <w:t>Medios de Verificación</w:t>
            </w:r>
          </w:p>
        </w:tc>
        <w:tc>
          <w:tcPr>
            <w:tcW w:w="947" w:type="pct"/>
            <w:shd w:val="clear" w:color="auto" w:fill="1F3864" w:themeFill="accent1" w:themeFillShade="80"/>
            <w:vAlign w:val="center"/>
          </w:tcPr>
          <w:p w14:paraId="549931B6" w14:textId="77777777" w:rsidR="00D83BC4" w:rsidRPr="002E2BCF" w:rsidRDefault="00D83BC4" w:rsidP="008922A3">
            <w:pPr>
              <w:jc w:val="center"/>
              <w:rPr>
                <w:rFonts w:ascii="Times New Roman" w:hAnsi="Times New Roman" w:cs="Times New Roman"/>
                <w:b/>
                <w:color w:val="FFFFFF" w:themeColor="background1"/>
              </w:rPr>
            </w:pPr>
            <w:r w:rsidRPr="002E2BCF">
              <w:rPr>
                <w:rFonts w:ascii="Times New Roman" w:hAnsi="Times New Roman" w:cs="Times New Roman"/>
                <w:b/>
                <w:color w:val="FFFFFF" w:themeColor="background1"/>
              </w:rPr>
              <w:t>Supuestos</w:t>
            </w:r>
          </w:p>
        </w:tc>
      </w:tr>
      <w:tr w:rsidR="00D83BC4" w:rsidRPr="00D83BC4" w14:paraId="774B49F3" w14:textId="77777777" w:rsidTr="008922A3">
        <w:tc>
          <w:tcPr>
            <w:tcW w:w="564" w:type="pct"/>
            <w:vAlign w:val="center"/>
          </w:tcPr>
          <w:p w14:paraId="01718914"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Fin</w:t>
            </w:r>
          </w:p>
        </w:tc>
        <w:tc>
          <w:tcPr>
            <w:tcW w:w="642" w:type="pct"/>
          </w:tcPr>
          <w:p w14:paraId="7BA469F4" w14:textId="38D741F8" w:rsidR="00D83BC4" w:rsidRPr="00D83BC4" w:rsidRDefault="000A54D0" w:rsidP="00D83BC4">
            <w:pPr>
              <w:jc w:val="both"/>
              <w:rPr>
                <w:rFonts w:ascii="Times New Roman" w:hAnsi="Times New Roman" w:cs="Times New Roman"/>
                <w:sz w:val="20"/>
                <w:szCs w:val="20"/>
              </w:rPr>
            </w:pPr>
            <w:r w:rsidRPr="000A54D0">
              <w:rPr>
                <w:rFonts w:ascii="Times New Roman" w:hAnsi="Times New Roman" w:cs="Times New Roman"/>
                <w:sz w:val="20"/>
                <w:szCs w:val="20"/>
              </w:rPr>
              <w:t>Contribuir al desarrollo económico incluyente mediante la generación de capacidades en ciencia, tecnología e innovación de los Sectores de la Administración Pública Federal (APF).</w:t>
            </w:r>
          </w:p>
        </w:tc>
        <w:tc>
          <w:tcPr>
            <w:tcW w:w="670" w:type="pct"/>
          </w:tcPr>
          <w:p w14:paraId="6D819D7D" w14:textId="1F6490A6"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w:t>
            </w:r>
            <w:r w:rsidR="000A54D0">
              <w:t xml:space="preserve"> </w:t>
            </w:r>
            <w:r w:rsidR="000A54D0" w:rsidRPr="000A54D0">
              <w:rPr>
                <w:rFonts w:ascii="Times New Roman" w:hAnsi="Times New Roman" w:cs="Times New Roman"/>
                <w:sz w:val="20"/>
                <w:szCs w:val="20"/>
              </w:rPr>
              <w:t>Gasto en Investigación Científica y Desarrollo Experimental (GIDE) ejecutado por la Instituciones de Educación Superior (IES) respecto al Producto Interno Bruto (PIB)</w:t>
            </w:r>
          </w:p>
        </w:tc>
        <w:tc>
          <w:tcPr>
            <w:tcW w:w="2177" w:type="pct"/>
          </w:tcPr>
          <w:p w14:paraId="2083C6B6" w14:textId="437D796A" w:rsidR="00D83BC4" w:rsidRPr="00D83BC4" w:rsidRDefault="000A54D0" w:rsidP="00D83BC4">
            <w:pPr>
              <w:jc w:val="both"/>
              <w:rPr>
                <w:rFonts w:ascii="Times New Roman" w:hAnsi="Times New Roman" w:cs="Times New Roman"/>
                <w:sz w:val="20"/>
                <w:szCs w:val="20"/>
              </w:rPr>
            </w:pPr>
            <w:r w:rsidRPr="000A54D0">
              <w:rPr>
                <w:rFonts w:ascii="Times New Roman" w:hAnsi="Times New Roman" w:cs="Times New Roman"/>
                <w:sz w:val="20"/>
                <w:szCs w:val="20"/>
              </w:rPr>
              <w:t xml:space="preserve">Gasto en Investigación Científica y Desarrollo Experimental (GIDE) ejecutado por la Instituciones de Educación Superior (IES) respecto al Producto </w:t>
            </w:r>
            <w:r w:rsidRPr="00642589">
              <w:rPr>
                <w:rFonts w:ascii="Times New Roman" w:hAnsi="Times New Roman" w:cs="Times New Roman"/>
                <w:sz w:val="20"/>
                <w:szCs w:val="20"/>
              </w:rPr>
              <w:t>Interno Bruto (PIB)</w:t>
            </w:r>
            <w:r w:rsidR="00642589">
              <w:rPr>
                <w:rFonts w:ascii="Times New Roman" w:hAnsi="Times New Roman" w:cs="Times New Roman"/>
                <w:sz w:val="20"/>
                <w:szCs w:val="20"/>
              </w:rPr>
              <w:t xml:space="preserve"> (2017</w:t>
            </w:r>
            <w:r w:rsidR="00D83BC4" w:rsidRPr="00642589">
              <w:rPr>
                <w:rFonts w:ascii="Times New Roman" w:hAnsi="Times New Roman" w:cs="Times New Roman"/>
                <w:sz w:val="20"/>
                <w:szCs w:val="20"/>
              </w:rPr>
              <w:t xml:space="preserve"> elaborado</w:t>
            </w:r>
            <w:r w:rsidR="00D83BC4" w:rsidRPr="00D83BC4">
              <w:rPr>
                <w:rFonts w:ascii="Times New Roman" w:hAnsi="Times New Roman" w:cs="Times New Roman"/>
                <w:sz w:val="20"/>
                <w:szCs w:val="20"/>
              </w:rPr>
              <w:t xml:space="preserve"> y ubicado en la Subdirección de Integración de la Dirección de Análisis Estadístico del </w:t>
            </w:r>
            <w:r w:rsidR="008922A3">
              <w:rPr>
                <w:rFonts w:ascii="Times New Roman" w:hAnsi="Times New Roman" w:cs="Times New Roman"/>
                <w:sz w:val="20"/>
                <w:szCs w:val="20"/>
              </w:rPr>
              <w:t>CONACYT</w:t>
            </w:r>
            <w:r w:rsidR="00D83BC4" w:rsidRPr="00D83BC4">
              <w:rPr>
                <w:rFonts w:ascii="Times New Roman" w:hAnsi="Times New Roman" w:cs="Times New Roman"/>
                <w:sz w:val="20"/>
                <w:szCs w:val="20"/>
              </w:rPr>
              <w:t>. Anual. http://www.</w:t>
            </w:r>
            <w:r w:rsidR="008922A3">
              <w:rPr>
                <w:rFonts w:ascii="Times New Roman" w:hAnsi="Times New Roman" w:cs="Times New Roman"/>
                <w:sz w:val="20"/>
                <w:szCs w:val="20"/>
              </w:rPr>
              <w:t>CONACYT</w:t>
            </w:r>
            <w:r w:rsidR="00D83BC4" w:rsidRPr="00D83BC4">
              <w:rPr>
                <w:rFonts w:ascii="Times New Roman" w:hAnsi="Times New Roman" w:cs="Times New Roman"/>
                <w:sz w:val="20"/>
                <w:szCs w:val="20"/>
              </w:rPr>
              <w:t>.mx/images/</w:t>
            </w:r>
            <w:r w:rsidR="008922A3">
              <w:rPr>
                <w:rFonts w:ascii="Times New Roman" w:hAnsi="Times New Roman" w:cs="Times New Roman"/>
                <w:sz w:val="20"/>
                <w:szCs w:val="20"/>
              </w:rPr>
              <w:t>CONACYT</w:t>
            </w:r>
            <w:r w:rsidR="00D83BC4" w:rsidRPr="00D83BC4">
              <w:rPr>
                <w:rFonts w:ascii="Times New Roman" w:hAnsi="Times New Roman" w:cs="Times New Roman"/>
                <w:sz w:val="20"/>
                <w:szCs w:val="20"/>
              </w:rPr>
              <w:t>/cooperacion/S192.zip; Producto Interno Bruto en el periodo t: Información estadística Producto Interno Bruto, cifras originales precios corrientes generada por el Instituto Nacional de Estadística y Geografía (INEGI). Anual. Disponible en http://www.inegi.org.mx/est/contenidos/proyectos/cn/pibt/default.aspx</w:t>
            </w:r>
          </w:p>
        </w:tc>
        <w:tc>
          <w:tcPr>
            <w:tcW w:w="947" w:type="pct"/>
          </w:tcPr>
          <w:p w14:paraId="7A6B0928" w14:textId="77777777" w:rsidR="00D83BC4" w:rsidRPr="00642589" w:rsidRDefault="00D83BC4" w:rsidP="00D83BC4">
            <w:pPr>
              <w:jc w:val="both"/>
              <w:rPr>
                <w:rFonts w:ascii="Times New Roman" w:hAnsi="Times New Roman" w:cs="Times New Roman"/>
                <w:sz w:val="20"/>
                <w:szCs w:val="20"/>
              </w:rPr>
            </w:pPr>
            <w:r w:rsidRPr="00642589">
              <w:rPr>
                <w:rFonts w:ascii="Times New Roman" w:hAnsi="Times New Roman" w:cs="Times New Roman"/>
                <w:sz w:val="20"/>
                <w:szCs w:val="20"/>
              </w:rPr>
              <w:t>El gasto en ciencia y tecnología crece de manera constante y sostenida.</w:t>
            </w:r>
          </w:p>
        </w:tc>
      </w:tr>
      <w:tr w:rsidR="00D83BC4" w:rsidRPr="00D83BC4" w14:paraId="79090F9B" w14:textId="77777777" w:rsidTr="008922A3">
        <w:tc>
          <w:tcPr>
            <w:tcW w:w="564" w:type="pct"/>
            <w:vAlign w:val="center"/>
          </w:tcPr>
          <w:p w14:paraId="1E60EA63"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Propósito</w:t>
            </w:r>
          </w:p>
        </w:tc>
        <w:tc>
          <w:tcPr>
            <w:tcW w:w="642" w:type="pct"/>
          </w:tcPr>
          <w:p w14:paraId="070C9C3A"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Los Sectores Administrativos de la Administración Pública Federal (APF) fortalecen sus capacidades científicas, tecnológicas y de innovación.</w:t>
            </w:r>
          </w:p>
        </w:tc>
        <w:tc>
          <w:tcPr>
            <w:tcW w:w="670" w:type="pct"/>
          </w:tcPr>
          <w:p w14:paraId="09D222C2" w14:textId="0C438590" w:rsidR="00D83BC4" w:rsidRPr="00D83BC4" w:rsidRDefault="003F3C9E" w:rsidP="00D83BC4">
            <w:pPr>
              <w:jc w:val="both"/>
              <w:rPr>
                <w:rFonts w:ascii="Times New Roman" w:hAnsi="Times New Roman" w:cs="Times New Roman"/>
                <w:sz w:val="20"/>
                <w:szCs w:val="20"/>
              </w:rPr>
            </w:pPr>
            <w:r w:rsidRPr="003F3C9E">
              <w:rPr>
                <w:rFonts w:ascii="Times New Roman" w:hAnsi="Times New Roman" w:cs="Times New Roman"/>
                <w:sz w:val="20"/>
                <w:szCs w:val="20"/>
              </w:rPr>
              <w:t>Tasa ponderada de efectividad de satisfacción de necesidades de fortalecimiento de capacidades en CTI de los Sectores Administrativos de la Administración Pública Federal (APF)</w:t>
            </w:r>
          </w:p>
        </w:tc>
        <w:tc>
          <w:tcPr>
            <w:tcW w:w="2177" w:type="pct"/>
          </w:tcPr>
          <w:p w14:paraId="5D8C1D1B" w14:textId="6E1B0C11" w:rsidR="00015ADF" w:rsidRDefault="00015ADF" w:rsidP="00D83BC4">
            <w:pPr>
              <w:jc w:val="both"/>
              <w:rPr>
                <w:rFonts w:ascii="Times New Roman" w:hAnsi="Times New Roman" w:cs="Times New Roman"/>
                <w:sz w:val="20"/>
                <w:szCs w:val="20"/>
              </w:rPr>
            </w:pPr>
            <w:r w:rsidRPr="00015ADF">
              <w:rPr>
                <w:rFonts w:ascii="Times New Roman" w:hAnsi="Times New Roman" w:cs="Times New Roman"/>
                <w:sz w:val="20"/>
                <w:szCs w:val="20"/>
              </w:rPr>
              <w:t xml:space="preserve">Número de proyectos con dictamen técnico final en el año </w:t>
            </w:r>
            <w:r w:rsidR="00DA1031" w:rsidRPr="00015ADF">
              <w:rPr>
                <w:rFonts w:ascii="Times New Roman" w:hAnsi="Times New Roman" w:cs="Times New Roman"/>
                <w:sz w:val="20"/>
                <w:szCs w:val="20"/>
              </w:rPr>
              <w:t>T: Archivo</w:t>
            </w:r>
            <w:r w:rsidRPr="00015ADF">
              <w:rPr>
                <w:rFonts w:ascii="Times New Roman" w:hAnsi="Times New Roman" w:cs="Times New Roman"/>
                <w:sz w:val="20"/>
                <w:szCs w:val="20"/>
              </w:rPr>
              <w:t xml:space="preserve"> en formato electrónico Base Maestra de Fondos Sectoriales elaborado por los Secretarios Técnicos de cada Fondo Sectorial. Disponible en la sección avance de </w:t>
            </w:r>
            <w:proofErr w:type="spellStart"/>
            <w:r w:rsidRPr="00015ADF">
              <w:rPr>
                <w:rFonts w:ascii="Times New Roman" w:hAnsi="Times New Roman" w:cs="Times New Roman"/>
                <w:sz w:val="20"/>
                <w:szCs w:val="20"/>
              </w:rPr>
              <w:t>indicaodres</w:t>
            </w:r>
            <w:proofErr w:type="spellEnd"/>
            <w:r w:rsidRPr="00015ADF">
              <w:rPr>
                <w:rFonts w:ascii="Times New Roman" w:hAnsi="Times New Roman" w:cs="Times New Roman"/>
                <w:sz w:val="20"/>
                <w:szCs w:val="20"/>
              </w:rPr>
              <w:t xml:space="preserve"> MIR de la dirección electrónica http://www.</w:t>
            </w:r>
            <w:r w:rsidR="0053360A">
              <w:rPr>
                <w:rFonts w:ascii="Times New Roman" w:hAnsi="Times New Roman" w:cs="Times New Roman"/>
                <w:sz w:val="20"/>
                <w:szCs w:val="20"/>
              </w:rPr>
              <w:t>conacyt</w:t>
            </w:r>
            <w:r w:rsidRPr="00015ADF">
              <w:rPr>
                <w:rFonts w:ascii="Times New Roman" w:hAnsi="Times New Roman" w:cs="Times New Roman"/>
                <w:sz w:val="20"/>
                <w:szCs w:val="20"/>
              </w:rPr>
              <w:t>.mx/index.php/el-</w:t>
            </w:r>
            <w:r w:rsidR="0053360A">
              <w:rPr>
                <w:rFonts w:ascii="Times New Roman" w:hAnsi="Times New Roman" w:cs="Times New Roman"/>
                <w:sz w:val="20"/>
                <w:szCs w:val="20"/>
              </w:rPr>
              <w:t>conacyt</w:t>
            </w:r>
            <w:r w:rsidRPr="00015ADF">
              <w:rPr>
                <w:rFonts w:ascii="Times New Roman" w:hAnsi="Times New Roman" w:cs="Times New Roman"/>
                <w:sz w:val="20"/>
                <w:szCs w:val="20"/>
              </w:rPr>
              <w:t>/evaluacion-de-programas-</w:t>
            </w:r>
            <w:r w:rsidR="0053360A">
              <w:rPr>
                <w:rFonts w:ascii="Times New Roman" w:hAnsi="Times New Roman" w:cs="Times New Roman"/>
                <w:sz w:val="20"/>
                <w:szCs w:val="20"/>
              </w:rPr>
              <w:t>conacyt</w:t>
            </w:r>
            <w:r w:rsidRPr="00015ADF">
              <w:rPr>
                <w:rFonts w:ascii="Times New Roman" w:hAnsi="Times New Roman" w:cs="Times New Roman"/>
                <w:sz w:val="20"/>
                <w:szCs w:val="20"/>
              </w:rPr>
              <w:t xml:space="preserve">; Número de necesidades de fortalecimiento de capacidades en CTI de los Sectores Administrativos de la Administración Pública Federal, con proyectos aprobados por el CTA, en el año </w:t>
            </w:r>
            <w:proofErr w:type="gramStart"/>
            <w:r w:rsidRPr="00015ADF">
              <w:rPr>
                <w:rFonts w:ascii="Times New Roman" w:hAnsi="Times New Roman" w:cs="Times New Roman"/>
                <w:sz w:val="20"/>
                <w:szCs w:val="20"/>
              </w:rPr>
              <w:t>t:Archivo</w:t>
            </w:r>
            <w:proofErr w:type="gramEnd"/>
            <w:r w:rsidRPr="00015ADF">
              <w:rPr>
                <w:rFonts w:ascii="Times New Roman" w:hAnsi="Times New Roman" w:cs="Times New Roman"/>
                <w:sz w:val="20"/>
                <w:szCs w:val="20"/>
              </w:rPr>
              <w:t xml:space="preserve"> en formato electrónico Base Maestra de Fondos Sectoriales elaborado por los Secretarios Técnicos de cada Fondo Sectorial. Disponible en la sección avance de </w:t>
            </w:r>
            <w:proofErr w:type="spellStart"/>
            <w:r w:rsidRPr="00015ADF">
              <w:rPr>
                <w:rFonts w:ascii="Times New Roman" w:hAnsi="Times New Roman" w:cs="Times New Roman"/>
                <w:sz w:val="20"/>
                <w:szCs w:val="20"/>
              </w:rPr>
              <w:t>indicaodres</w:t>
            </w:r>
            <w:proofErr w:type="spellEnd"/>
            <w:r w:rsidRPr="00015ADF">
              <w:rPr>
                <w:rFonts w:ascii="Times New Roman" w:hAnsi="Times New Roman" w:cs="Times New Roman"/>
                <w:sz w:val="20"/>
                <w:szCs w:val="20"/>
              </w:rPr>
              <w:t xml:space="preserve"> MIR de la dirección electrónica http://www.</w:t>
            </w:r>
            <w:r w:rsidR="0053360A">
              <w:rPr>
                <w:rFonts w:ascii="Times New Roman" w:hAnsi="Times New Roman" w:cs="Times New Roman"/>
                <w:sz w:val="20"/>
                <w:szCs w:val="20"/>
              </w:rPr>
              <w:t>conacyt</w:t>
            </w:r>
            <w:r w:rsidRPr="00015ADF">
              <w:rPr>
                <w:rFonts w:ascii="Times New Roman" w:hAnsi="Times New Roman" w:cs="Times New Roman"/>
                <w:sz w:val="20"/>
                <w:szCs w:val="20"/>
              </w:rPr>
              <w:t>.mx/index.php/el-</w:t>
            </w:r>
            <w:r w:rsidR="0053360A">
              <w:rPr>
                <w:rFonts w:ascii="Times New Roman" w:hAnsi="Times New Roman" w:cs="Times New Roman"/>
                <w:sz w:val="20"/>
                <w:szCs w:val="20"/>
              </w:rPr>
              <w:t>conacyt</w:t>
            </w:r>
            <w:r w:rsidRPr="00015ADF">
              <w:rPr>
                <w:rFonts w:ascii="Times New Roman" w:hAnsi="Times New Roman" w:cs="Times New Roman"/>
                <w:sz w:val="20"/>
                <w:szCs w:val="20"/>
              </w:rPr>
              <w:t>/evaluacion-de-programas-</w:t>
            </w:r>
            <w:r w:rsidR="0053360A">
              <w:rPr>
                <w:rFonts w:ascii="Times New Roman" w:hAnsi="Times New Roman" w:cs="Times New Roman"/>
                <w:sz w:val="20"/>
                <w:szCs w:val="20"/>
              </w:rPr>
              <w:t>conacyt</w:t>
            </w:r>
            <w:r w:rsidRPr="00015ADF">
              <w:rPr>
                <w:rFonts w:ascii="Times New Roman" w:hAnsi="Times New Roman" w:cs="Times New Roman"/>
                <w:sz w:val="20"/>
                <w:szCs w:val="20"/>
              </w:rPr>
              <w:t xml:space="preserve">; Número de necesidades de fortalecimiento de capacidades en CTI los Sectores Administrativos de la Administración Pública Federal satisfechas con los proyectos con dictamen técnico final satisfactorio, en el año </w:t>
            </w:r>
            <w:proofErr w:type="gramStart"/>
            <w:r w:rsidRPr="00015ADF">
              <w:rPr>
                <w:rFonts w:ascii="Times New Roman" w:hAnsi="Times New Roman" w:cs="Times New Roman"/>
                <w:sz w:val="20"/>
                <w:szCs w:val="20"/>
              </w:rPr>
              <w:t>T :Archivo</w:t>
            </w:r>
            <w:proofErr w:type="gramEnd"/>
            <w:r w:rsidRPr="00015ADF">
              <w:rPr>
                <w:rFonts w:ascii="Times New Roman" w:hAnsi="Times New Roman" w:cs="Times New Roman"/>
                <w:sz w:val="20"/>
                <w:szCs w:val="20"/>
              </w:rPr>
              <w:t xml:space="preserve"> en formato electrónico Base Maestra de Fondos Sectoriales elaborado por los Secretarios Técnicos de cada Fondo Sectorial. Disponible en la sección avance de </w:t>
            </w:r>
            <w:proofErr w:type="spellStart"/>
            <w:r w:rsidRPr="00015ADF">
              <w:rPr>
                <w:rFonts w:ascii="Times New Roman" w:hAnsi="Times New Roman" w:cs="Times New Roman"/>
                <w:sz w:val="20"/>
                <w:szCs w:val="20"/>
              </w:rPr>
              <w:t>indicaodres</w:t>
            </w:r>
            <w:proofErr w:type="spellEnd"/>
            <w:r w:rsidRPr="00015ADF">
              <w:rPr>
                <w:rFonts w:ascii="Times New Roman" w:hAnsi="Times New Roman" w:cs="Times New Roman"/>
                <w:sz w:val="20"/>
                <w:szCs w:val="20"/>
              </w:rPr>
              <w:t xml:space="preserve"> MIR de la dirección electrónica http://www.</w:t>
            </w:r>
            <w:r w:rsidR="0053360A">
              <w:rPr>
                <w:rFonts w:ascii="Times New Roman" w:hAnsi="Times New Roman" w:cs="Times New Roman"/>
                <w:sz w:val="20"/>
                <w:szCs w:val="20"/>
              </w:rPr>
              <w:t>conacyt</w:t>
            </w:r>
            <w:r w:rsidRPr="00015ADF">
              <w:rPr>
                <w:rFonts w:ascii="Times New Roman" w:hAnsi="Times New Roman" w:cs="Times New Roman"/>
                <w:sz w:val="20"/>
                <w:szCs w:val="20"/>
              </w:rPr>
              <w:t>.mx/index.php/el-</w:t>
            </w:r>
            <w:r w:rsidR="0053360A">
              <w:rPr>
                <w:rFonts w:ascii="Times New Roman" w:hAnsi="Times New Roman" w:cs="Times New Roman"/>
                <w:sz w:val="20"/>
                <w:szCs w:val="20"/>
              </w:rPr>
              <w:t>conacyt</w:t>
            </w:r>
            <w:r w:rsidRPr="00015ADF">
              <w:rPr>
                <w:rFonts w:ascii="Times New Roman" w:hAnsi="Times New Roman" w:cs="Times New Roman"/>
                <w:sz w:val="20"/>
                <w:szCs w:val="20"/>
              </w:rPr>
              <w:t>/evaluacion-de-programas-</w:t>
            </w:r>
            <w:r w:rsidR="0053360A">
              <w:rPr>
                <w:rFonts w:ascii="Times New Roman" w:hAnsi="Times New Roman" w:cs="Times New Roman"/>
                <w:sz w:val="20"/>
                <w:szCs w:val="20"/>
              </w:rPr>
              <w:t>conacyt</w:t>
            </w:r>
            <w:r w:rsidRPr="00015ADF">
              <w:rPr>
                <w:rFonts w:ascii="Times New Roman" w:hAnsi="Times New Roman" w:cs="Times New Roman"/>
                <w:sz w:val="20"/>
                <w:szCs w:val="20"/>
              </w:rPr>
              <w:t xml:space="preserve">; Número proyectos con dictamen técnico final satisfactorio, en el año </w:t>
            </w:r>
            <w:proofErr w:type="gramStart"/>
            <w:r w:rsidRPr="00015ADF">
              <w:rPr>
                <w:rFonts w:ascii="Times New Roman" w:hAnsi="Times New Roman" w:cs="Times New Roman"/>
                <w:sz w:val="20"/>
                <w:szCs w:val="20"/>
              </w:rPr>
              <w:t>T:Archivo</w:t>
            </w:r>
            <w:proofErr w:type="gramEnd"/>
            <w:r w:rsidRPr="00015ADF">
              <w:rPr>
                <w:rFonts w:ascii="Times New Roman" w:hAnsi="Times New Roman" w:cs="Times New Roman"/>
                <w:sz w:val="20"/>
                <w:szCs w:val="20"/>
              </w:rPr>
              <w:t xml:space="preserve"> en formato electrónico Base Maestra de Fondos </w:t>
            </w:r>
            <w:r w:rsidRPr="00015ADF">
              <w:rPr>
                <w:rFonts w:ascii="Times New Roman" w:hAnsi="Times New Roman" w:cs="Times New Roman"/>
                <w:sz w:val="20"/>
                <w:szCs w:val="20"/>
              </w:rPr>
              <w:lastRenderedPageBreak/>
              <w:t xml:space="preserve">Sectoriales elaborado por los Secretarios Técnicos de cada Fondo Sectorial. Disponible en la sección avance de </w:t>
            </w:r>
            <w:proofErr w:type="spellStart"/>
            <w:r w:rsidRPr="00015ADF">
              <w:rPr>
                <w:rFonts w:ascii="Times New Roman" w:hAnsi="Times New Roman" w:cs="Times New Roman"/>
                <w:sz w:val="20"/>
                <w:szCs w:val="20"/>
              </w:rPr>
              <w:t>indicaodres</w:t>
            </w:r>
            <w:proofErr w:type="spellEnd"/>
            <w:r w:rsidRPr="00015ADF">
              <w:rPr>
                <w:rFonts w:ascii="Times New Roman" w:hAnsi="Times New Roman" w:cs="Times New Roman"/>
                <w:sz w:val="20"/>
                <w:szCs w:val="20"/>
              </w:rPr>
              <w:t xml:space="preserve"> MIR de la dirección electrónica http://www.</w:t>
            </w:r>
            <w:r w:rsidR="0053360A">
              <w:rPr>
                <w:rFonts w:ascii="Times New Roman" w:hAnsi="Times New Roman" w:cs="Times New Roman"/>
                <w:sz w:val="20"/>
                <w:szCs w:val="20"/>
              </w:rPr>
              <w:t>conacyt</w:t>
            </w:r>
            <w:r w:rsidRPr="00015ADF">
              <w:rPr>
                <w:rFonts w:ascii="Times New Roman" w:hAnsi="Times New Roman" w:cs="Times New Roman"/>
                <w:sz w:val="20"/>
                <w:szCs w:val="20"/>
              </w:rPr>
              <w:t>.mx/index.php/el-</w:t>
            </w:r>
            <w:r w:rsidR="0053360A">
              <w:rPr>
                <w:rFonts w:ascii="Times New Roman" w:hAnsi="Times New Roman" w:cs="Times New Roman"/>
                <w:sz w:val="20"/>
                <w:szCs w:val="20"/>
              </w:rPr>
              <w:t>conacyt</w:t>
            </w:r>
            <w:r w:rsidRPr="00015ADF">
              <w:rPr>
                <w:rFonts w:ascii="Times New Roman" w:hAnsi="Times New Roman" w:cs="Times New Roman"/>
                <w:sz w:val="20"/>
                <w:szCs w:val="20"/>
              </w:rPr>
              <w:t>/evaluacion-de-programas-</w:t>
            </w:r>
            <w:r w:rsidR="0053360A">
              <w:rPr>
                <w:rFonts w:ascii="Times New Roman" w:hAnsi="Times New Roman" w:cs="Times New Roman"/>
                <w:sz w:val="20"/>
                <w:szCs w:val="20"/>
              </w:rPr>
              <w:t>conacyt</w:t>
            </w:r>
          </w:p>
          <w:p w14:paraId="5F9E5C2F" w14:textId="77777777" w:rsidR="00D83BC4" w:rsidRPr="00015ADF" w:rsidRDefault="00D83BC4" w:rsidP="00015ADF">
            <w:pPr>
              <w:jc w:val="center"/>
              <w:rPr>
                <w:rFonts w:ascii="Times New Roman" w:hAnsi="Times New Roman" w:cs="Times New Roman"/>
                <w:sz w:val="20"/>
                <w:szCs w:val="20"/>
              </w:rPr>
            </w:pPr>
          </w:p>
        </w:tc>
        <w:tc>
          <w:tcPr>
            <w:tcW w:w="947" w:type="pct"/>
          </w:tcPr>
          <w:p w14:paraId="63456A3A" w14:textId="0D02A05F" w:rsidR="00D83BC4" w:rsidRPr="00D83BC4" w:rsidRDefault="00DA1031" w:rsidP="006737DB">
            <w:pPr>
              <w:jc w:val="both"/>
              <w:rPr>
                <w:rFonts w:ascii="Times New Roman" w:hAnsi="Times New Roman" w:cs="Times New Roman"/>
              </w:rPr>
            </w:pPr>
            <w:r w:rsidRPr="00DA1031">
              <w:rPr>
                <w:rFonts w:ascii="Times New Roman" w:hAnsi="Times New Roman" w:cs="Times New Roman"/>
                <w:sz w:val="20"/>
                <w:szCs w:val="20"/>
              </w:rPr>
              <w:lastRenderedPageBreak/>
              <w:t xml:space="preserve">Se generan sinergias </w:t>
            </w:r>
            <w:r w:rsidRPr="00595148">
              <w:rPr>
                <w:rFonts w:ascii="Times New Roman" w:hAnsi="Times New Roman" w:cs="Times New Roman"/>
                <w:sz w:val="20"/>
                <w:szCs w:val="20"/>
              </w:rPr>
              <w:t>entre los Sectores Administrativos de la Administración Pública Federal (APF) y el resto de los actores del Sistema Nacional de Ciencia, Tecnología e Innovación, de tal manera que se incrementa el Gasto en Investigación Científica y Desarrollo Experimental (GIDE).</w:t>
            </w:r>
          </w:p>
        </w:tc>
      </w:tr>
      <w:tr w:rsidR="00D83BC4" w:rsidRPr="00D83BC4" w14:paraId="18B89F81" w14:textId="77777777" w:rsidTr="008922A3">
        <w:tc>
          <w:tcPr>
            <w:tcW w:w="564" w:type="pct"/>
            <w:vAlign w:val="center"/>
          </w:tcPr>
          <w:p w14:paraId="6BA893A9"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Componentes</w:t>
            </w:r>
          </w:p>
        </w:tc>
        <w:tc>
          <w:tcPr>
            <w:tcW w:w="642" w:type="pct"/>
          </w:tcPr>
          <w:p w14:paraId="3D359908"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Apoyos económicos otorgados a las instituciones, centros, organismos, empresas públicas, empresas privadas, personas físicas y demás miembros inscritos en el Registro Nacional de Instituciones y Empresas Científicas y Tecnológicas (RENIECYT) para la satisfacción de las demandas en materia de Ciencia, Tecnología e Innovación (CTI) de los Sectores Administrativos de la Administración Pública Federal (APF).</w:t>
            </w:r>
          </w:p>
        </w:tc>
        <w:tc>
          <w:tcPr>
            <w:tcW w:w="670" w:type="pct"/>
          </w:tcPr>
          <w:p w14:paraId="4C3C8B44"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Porcentaje de proyectos apoyados económicamente</w:t>
            </w:r>
          </w:p>
        </w:tc>
        <w:tc>
          <w:tcPr>
            <w:tcW w:w="2177" w:type="pct"/>
          </w:tcPr>
          <w:p w14:paraId="49B794DB" w14:textId="27E851A3" w:rsidR="00D83BC4" w:rsidRPr="00D83BC4" w:rsidRDefault="000005E7" w:rsidP="00D83BC4">
            <w:pPr>
              <w:jc w:val="both"/>
              <w:rPr>
                <w:rFonts w:ascii="Times New Roman" w:hAnsi="Times New Roman" w:cs="Times New Roman"/>
                <w:sz w:val="20"/>
                <w:szCs w:val="20"/>
              </w:rPr>
            </w:pPr>
            <w:r w:rsidRPr="000005E7">
              <w:rPr>
                <w:rFonts w:ascii="Times New Roman" w:hAnsi="Times New Roman" w:cs="Times New Roman"/>
                <w:sz w:val="20"/>
                <w:szCs w:val="20"/>
              </w:rPr>
              <w:t xml:space="preserve">Número total de proyectos apoyados económicamente en el año </w:t>
            </w:r>
            <w:proofErr w:type="gramStart"/>
            <w:r w:rsidRPr="000005E7">
              <w:rPr>
                <w:rFonts w:ascii="Times New Roman" w:hAnsi="Times New Roman" w:cs="Times New Roman"/>
                <w:sz w:val="20"/>
                <w:szCs w:val="20"/>
              </w:rPr>
              <w:t>t:Archivo</w:t>
            </w:r>
            <w:proofErr w:type="gramEnd"/>
            <w:r w:rsidRPr="000005E7">
              <w:rPr>
                <w:rFonts w:ascii="Times New Roman" w:hAnsi="Times New Roman" w:cs="Times New Roman"/>
                <w:sz w:val="20"/>
                <w:szCs w:val="20"/>
              </w:rPr>
              <w:t xml:space="preserve"> en formato electrónico Base Maestra de Fondos Sectoriales elaborado por los Secretarios Técnicos de cada Fondo Sectorial. Disponible en la sección avance de </w:t>
            </w:r>
            <w:proofErr w:type="spellStart"/>
            <w:r w:rsidRPr="000005E7">
              <w:rPr>
                <w:rFonts w:ascii="Times New Roman" w:hAnsi="Times New Roman" w:cs="Times New Roman"/>
                <w:sz w:val="20"/>
                <w:szCs w:val="20"/>
              </w:rPr>
              <w:t>indicaodres</w:t>
            </w:r>
            <w:proofErr w:type="spellEnd"/>
            <w:r w:rsidRPr="000005E7">
              <w:rPr>
                <w:rFonts w:ascii="Times New Roman" w:hAnsi="Times New Roman" w:cs="Times New Roman"/>
                <w:sz w:val="20"/>
                <w:szCs w:val="20"/>
              </w:rPr>
              <w:t xml:space="preserve"> MIR de la dirección electrónica http://www.</w:t>
            </w:r>
            <w:r w:rsidR="0053360A">
              <w:rPr>
                <w:rFonts w:ascii="Times New Roman" w:hAnsi="Times New Roman" w:cs="Times New Roman"/>
                <w:sz w:val="20"/>
                <w:szCs w:val="20"/>
              </w:rPr>
              <w:t>conacyt</w:t>
            </w:r>
            <w:r w:rsidRPr="000005E7">
              <w:rPr>
                <w:rFonts w:ascii="Times New Roman" w:hAnsi="Times New Roman" w:cs="Times New Roman"/>
                <w:sz w:val="20"/>
                <w:szCs w:val="20"/>
              </w:rPr>
              <w:t>.mx/index.php/el-</w:t>
            </w:r>
            <w:r w:rsidR="0053360A">
              <w:rPr>
                <w:rFonts w:ascii="Times New Roman" w:hAnsi="Times New Roman" w:cs="Times New Roman"/>
                <w:sz w:val="20"/>
                <w:szCs w:val="20"/>
              </w:rPr>
              <w:t>conacyt</w:t>
            </w:r>
            <w:r w:rsidRPr="000005E7">
              <w:rPr>
                <w:rFonts w:ascii="Times New Roman" w:hAnsi="Times New Roman" w:cs="Times New Roman"/>
                <w:sz w:val="20"/>
                <w:szCs w:val="20"/>
              </w:rPr>
              <w:t>/evaluacion-de-programas-</w:t>
            </w:r>
            <w:r w:rsidR="0053360A">
              <w:rPr>
                <w:rFonts w:ascii="Times New Roman" w:hAnsi="Times New Roman" w:cs="Times New Roman"/>
                <w:sz w:val="20"/>
                <w:szCs w:val="20"/>
              </w:rPr>
              <w:t>conacyt</w:t>
            </w:r>
            <w:r w:rsidRPr="000005E7">
              <w:rPr>
                <w:rFonts w:ascii="Times New Roman" w:hAnsi="Times New Roman" w:cs="Times New Roman"/>
                <w:sz w:val="20"/>
                <w:szCs w:val="20"/>
              </w:rPr>
              <w:t xml:space="preserve">; Número de proyectos apoyados económicamente para realizar investigación científica básica en el año </w:t>
            </w:r>
            <w:proofErr w:type="gramStart"/>
            <w:r w:rsidRPr="000005E7">
              <w:rPr>
                <w:rFonts w:ascii="Times New Roman" w:hAnsi="Times New Roman" w:cs="Times New Roman"/>
                <w:sz w:val="20"/>
                <w:szCs w:val="20"/>
              </w:rPr>
              <w:t>t::</w:t>
            </w:r>
            <w:proofErr w:type="gramEnd"/>
            <w:r w:rsidRPr="000005E7">
              <w:rPr>
                <w:rFonts w:ascii="Times New Roman" w:hAnsi="Times New Roman" w:cs="Times New Roman"/>
                <w:sz w:val="20"/>
                <w:szCs w:val="20"/>
              </w:rPr>
              <w:t xml:space="preserve">Archivo en formato electrónico Base Maestra de Fondos Sectoriales elaborado por los Secretarios Técnicos de cada Fondo Sectorial. Disponible en la sección avance de </w:t>
            </w:r>
            <w:proofErr w:type="spellStart"/>
            <w:r w:rsidRPr="000005E7">
              <w:rPr>
                <w:rFonts w:ascii="Times New Roman" w:hAnsi="Times New Roman" w:cs="Times New Roman"/>
                <w:sz w:val="20"/>
                <w:szCs w:val="20"/>
              </w:rPr>
              <w:t>indicaodres</w:t>
            </w:r>
            <w:proofErr w:type="spellEnd"/>
            <w:r w:rsidRPr="000005E7">
              <w:rPr>
                <w:rFonts w:ascii="Times New Roman" w:hAnsi="Times New Roman" w:cs="Times New Roman"/>
                <w:sz w:val="20"/>
                <w:szCs w:val="20"/>
              </w:rPr>
              <w:t xml:space="preserve"> MIR de la dirección electrónica http://www.</w:t>
            </w:r>
            <w:r w:rsidR="0053360A">
              <w:rPr>
                <w:rFonts w:ascii="Times New Roman" w:hAnsi="Times New Roman" w:cs="Times New Roman"/>
                <w:sz w:val="20"/>
                <w:szCs w:val="20"/>
              </w:rPr>
              <w:t>conacyt</w:t>
            </w:r>
            <w:r w:rsidRPr="000005E7">
              <w:rPr>
                <w:rFonts w:ascii="Times New Roman" w:hAnsi="Times New Roman" w:cs="Times New Roman"/>
                <w:sz w:val="20"/>
                <w:szCs w:val="20"/>
              </w:rPr>
              <w:t>.mx/index.php/el-</w:t>
            </w:r>
            <w:r w:rsidR="0053360A">
              <w:rPr>
                <w:rFonts w:ascii="Times New Roman" w:hAnsi="Times New Roman" w:cs="Times New Roman"/>
                <w:sz w:val="20"/>
                <w:szCs w:val="20"/>
              </w:rPr>
              <w:t>conacyt</w:t>
            </w:r>
            <w:r w:rsidRPr="000005E7">
              <w:rPr>
                <w:rFonts w:ascii="Times New Roman" w:hAnsi="Times New Roman" w:cs="Times New Roman"/>
                <w:sz w:val="20"/>
                <w:szCs w:val="20"/>
              </w:rPr>
              <w:t>/evaluacion-de-programas-</w:t>
            </w:r>
            <w:r w:rsidR="0053360A">
              <w:rPr>
                <w:rFonts w:ascii="Times New Roman" w:hAnsi="Times New Roman" w:cs="Times New Roman"/>
                <w:sz w:val="20"/>
                <w:szCs w:val="20"/>
              </w:rPr>
              <w:t>conacyt</w:t>
            </w:r>
          </w:p>
        </w:tc>
        <w:tc>
          <w:tcPr>
            <w:tcW w:w="947" w:type="pct"/>
          </w:tcPr>
          <w:p w14:paraId="22D677A4" w14:textId="498BB00D" w:rsidR="00D83BC4" w:rsidRPr="009B732D" w:rsidRDefault="009B732D" w:rsidP="009B732D">
            <w:pPr>
              <w:jc w:val="both"/>
              <w:rPr>
                <w:rFonts w:ascii="Times New Roman" w:hAnsi="Times New Roman" w:cs="Times New Roman"/>
                <w:sz w:val="20"/>
                <w:szCs w:val="20"/>
              </w:rPr>
            </w:pPr>
            <w:r w:rsidRPr="009B732D">
              <w:rPr>
                <w:rFonts w:ascii="Times New Roman" w:hAnsi="Times New Roman" w:cs="Times New Roman"/>
                <w:sz w:val="20"/>
                <w:szCs w:val="20"/>
              </w:rPr>
              <w:t>Los Sectores Administrativos de la Administración Pública Federal asimilan los hallazgos de los proyectos de investigación científica básica.</w:t>
            </w:r>
          </w:p>
        </w:tc>
      </w:tr>
      <w:tr w:rsidR="00D83BC4" w:rsidRPr="00D83BC4" w14:paraId="323CB8B9" w14:textId="77777777" w:rsidTr="008922A3">
        <w:tc>
          <w:tcPr>
            <w:tcW w:w="564" w:type="pct"/>
            <w:vMerge w:val="restart"/>
            <w:vAlign w:val="center"/>
          </w:tcPr>
          <w:p w14:paraId="7DCBD1EE"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lastRenderedPageBreak/>
              <w:t>Actividades</w:t>
            </w:r>
          </w:p>
        </w:tc>
        <w:tc>
          <w:tcPr>
            <w:tcW w:w="642" w:type="pct"/>
          </w:tcPr>
          <w:p w14:paraId="0F418EE6"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Publicación de convocatorias</w:t>
            </w:r>
          </w:p>
        </w:tc>
        <w:tc>
          <w:tcPr>
            <w:tcW w:w="670" w:type="pct"/>
          </w:tcPr>
          <w:p w14:paraId="6113D5B5"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Porcentaje de convocatorias publicadas</w:t>
            </w:r>
          </w:p>
        </w:tc>
        <w:tc>
          <w:tcPr>
            <w:tcW w:w="2177" w:type="pct"/>
          </w:tcPr>
          <w:p w14:paraId="50FA7DE2" w14:textId="7FA0F404"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Número de convocatorias publicadas en el periodo t: Formato electrónico Convocatorias publicadas elaborado por los Secretarios Técnicos de cada Fondo Sectorial. Disponible en http://www.</w:t>
            </w:r>
            <w:r w:rsidR="0053360A">
              <w:rPr>
                <w:rFonts w:ascii="Times New Roman" w:hAnsi="Times New Roman" w:cs="Times New Roman"/>
                <w:sz w:val="20"/>
                <w:szCs w:val="20"/>
              </w:rPr>
              <w:t>conacyt</w:t>
            </w:r>
            <w:r w:rsidRPr="00D83BC4">
              <w:rPr>
                <w:rFonts w:ascii="Times New Roman" w:hAnsi="Times New Roman" w:cs="Times New Roman"/>
                <w:sz w:val="20"/>
                <w:szCs w:val="20"/>
              </w:rPr>
              <w:t>.mx/images/</w:t>
            </w:r>
            <w:r w:rsidR="0053360A">
              <w:rPr>
                <w:rFonts w:ascii="Times New Roman" w:hAnsi="Times New Roman" w:cs="Times New Roman"/>
                <w:sz w:val="20"/>
                <w:szCs w:val="20"/>
              </w:rPr>
              <w:t>conacyt</w:t>
            </w:r>
            <w:r w:rsidRPr="00D83BC4">
              <w:rPr>
                <w:rFonts w:ascii="Times New Roman" w:hAnsi="Times New Roman" w:cs="Times New Roman"/>
                <w:sz w:val="20"/>
                <w:szCs w:val="20"/>
              </w:rPr>
              <w:t xml:space="preserve">/cooperacion/S192.zip; Número de convocatorias programadas para el periodo t: Formato electrónico Convocatorias programadas elaborado por los Secretarios Técnicos de cada Fondo Sectorial. Disponible en </w:t>
            </w:r>
            <w:hyperlink r:id="rId35" w:history="1">
              <w:r w:rsidR="0053360A" w:rsidRPr="003D3505">
                <w:rPr>
                  <w:rStyle w:val="Hipervnculo"/>
                  <w:rFonts w:ascii="Times New Roman" w:hAnsi="Times New Roman" w:cs="Times New Roman"/>
                  <w:sz w:val="20"/>
                  <w:szCs w:val="20"/>
                </w:rPr>
                <w:t>http://www.conacyt.mx/images/conacyt/cooperacion/S192.zip</w:t>
              </w:r>
            </w:hyperlink>
          </w:p>
        </w:tc>
        <w:tc>
          <w:tcPr>
            <w:tcW w:w="947" w:type="pct"/>
          </w:tcPr>
          <w:p w14:paraId="34BC2DFB"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Los Sectores Administrativos de la Administración Pública Federal (APF) definen oportunamente las demandas en materia de Ciencia, Tecnología e Innovación (CTI) para su correspondiente publicación en las convocatorias. 2- Los miembros del Registro Nacional de Instituciones y Empresas Científicas y Tecnológicas (RENIECYT) participan en las convocatorias publicadas.</w:t>
            </w:r>
          </w:p>
        </w:tc>
      </w:tr>
      <w:tr w:rsidR="00D83BC4" w:rsidRPr="00D83BC4" w14:paraId="51B0C8CB" w14:textId="77777777" w:rsidTr="008922A3">
        <w:tc>
          <w:tcPr>
            <w:tcW w:w="564" w:type="pct"/>
            <w:vMerge/>
            <w:vAlign w:val="center"/>
          </w:tcPr>
          <w:p w14:paraId="5E875012" w14:textId="77777777" w:rsidR="00D83BC4" w:rsidRPr="00D83BC4" w:rsidRDefault="00D83BC4" w:rsidP="00D83BC4">
            <w:pPr>
              <w:jc w:val="both"/>
              <w:rPr>
                <w:rFonts w:ascii="Times New Roman" w:hAnsi="Times New Roman" w:cs="Times New Roman"/>
                <w:sz w:val="20"/>
                <w:szCs w:val="20"/>
              </w:rPr>
            </w:pPr>
          </w:p>
        </w:tc>
        <w:tc>
          <w:tcPr>
            <w:tcW w:w="642" w:type="pct"/>
          </w:tcPr>
          <w:p w14:paraId="0817AB98"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Evaluación de propuestas</w:t>
            </w:r>
          </w:p>
        </w:tc>
        <w:tc>
          <w:tcPr>
            <w:tcW w:w="670" w:type="pct"/>
          </w:tcPr>
          <w:p w14:paraId="0F1E8CA9"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Porcentaje de convocatorias con el total de propuestas dictaminadas en tiempo</w:t>
            </w:r>
          </w:p>
        </w:tc>
        <w:tc>
          <w:tcPr>
            <w:tcW w:w="2177" w:type="pct"/>
          </w:tcPr>
          <w:p w14:paraId="2206E9D7" w14:textId="11020548"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 xml:space="preserve">Número de convocatorias con el total de propuestas dictaminadas por la Comisión de Evaluación dentro de los 90 días naturales posteriores al cierre de la convocatoria en el periodo </w:t>
            </w:r>
            <w:proofErr w:type="gramStart"/>
            <w:r w:rsidRPr="00D83BC4">
              <w:rPr>
                <w:rFonts w:ascii="Times New Roman" w:hAnsi="Times New Roman" w:cs="Times New Roman"/>
                <w:sz w:val="20"/>
                <w:szCs w:val="20"/>
              </w:rPr>
              <w:t>t:Archivo</w:t>
            </w:r>
            <w:proofErr w:type="gramEnd"/>
            <w:r w:rsidRPr="00D83BC4">
              <w:rPr>
                <w:rFonts w:ascii="Times New Roman" w:hAnsi="Times New Roman" w:cs="Times New Roman"/>
                <w:sz w:val="20"/>
                <w:szCs w:val="20"/>
              </w:rPr>
              <w:t xml:space="preserve"> administrativo Resultados del proceso de evaluación de propuestas de cada convocatoria de fondos sectoriales: dictámenes de la Comisión de Evaluación. Anual. Disponible en http://www.</w:t>
            </w:r>
            <w:r w:rsidR="0053360A">
              <w:rPr>
                <w:rFonts w:ascii="Times New Roman" w:hAnsi="Times New Roman" w:cs="Times New Roman"/>
                <w:sz w:val="20"/>
                <w:szCs w:val="20"/>
              </w:rPr>
              <w:t>conacyt</w:t>
            </w:r>
            <w:r w:rsidRPr="00D83BC4">
              <w:rPr>
                <w:rFonts w:ascii="Times New Roman" w:hAnsi="Times New Roman" w:cs="Times New Roman"/>
                <w:sz w:val="20"/>
                <w:szCs w:val="20"/>
              </w:rPr>
              <w:t>.mx/images/</w:t>
            </w:r>
            <w:r w:rsidR="0053360A">
              <w:rPr>
                <w:rFonts w:ascii="Times New Roman" w:hAnsi="Times New Roman" w:cs="Times New Roman"/>
                <w:sz w:val="20"/>
                <w:szCs w:val="20"/>
              </w:rPr>
              <w:t>conacyt</w:t>
            </w:r>
            <w:r w:rsidRPr="00D83BC4">
              <w:rPr>
                <w:rFonts w:ascii="Times New Roman" w:hAnsi="Times New Roman" w:cs="Times New Roman"/>
                <w:sz w:val="20"/>
                <w:szCs w:val="20"/>
              </w:rPr>
              <w:t xml:space="preserve">/cooperacion/S192.zip; Número de convocatorias publicadas en el periodo t: Formato electrónico Convocatorias publicadas elaborado por los Secretarios Técnicos de cada Fondo Sectorial. Disponible en </w:t>
            </w:r>
            <w:hyperlink r:id="rId36" w:history="1">
              <w:r w:rsidR="0053360A" w:rsidRPr="003D3505">
                <w:rPr>
                  <w:rStyle w:val="Hipervnculo"/>
                  <w:rFonts w:ascii="Times New Roman" w:hAnsi="Times New Roman" w:cs="Times New Roman"/>
                  <w:sz w:val="20"/>
                  <w:szCs w:val="20"/>
                </w:rPr>
                <w:t>http://www.conacyt.mx/images/conacyt/cooperacion/S192.zip</w:t>
              </w:r>
            </w:hyperlink>
          </w:p>
        </w:tc>
        <w:tc>
          <w:tcPr>
            <w:tcW w:w="947" w:type="pct"/>
          </w:tcPr>
          <w:p w14:paraId="7E45AAA7"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lastRenderedPageBreak/>
              <w:t xml:space="preserve">Se cuenta con evaluadores suficientes para los procesos de evaluación de todas las convocatorias. 2- Existe disponibilidad de agenda </w:t>
            </w:r>
            <w:r w:rsidRPr="00D83BC4">
              <w:rPr>
                <w:rFonts w:ascii="Times New Roman" w:hAnsi="Times New Roman" w:cs="Times New Roman"/>
                <w:sz w:val="20"/>
                <w:szCs w:val="20"/>
              </w:rPr>
              <w:lastRenderedPageBreak/>
              <w:t>y participación de los integrantes de los órganos colegiados de todos los fondos sectoriales.</w:t>
            </w:r>
          </w:p>
        </w:tc>
      </w:tr>
      <w:tr w:rsidR="00D83BC4" w:rsidRPr="00D83BC4" w14:paraId="6EDE9BAE" w14:textId="77777777" w:rsidTr="008922A3">
        <w:tc>
          <w:tcPr>
            <w:tcW w:w="564" w:type="pct"/>
            <w:vMerge/>
            <w:vAlign w:val="center"/>
          </w:tcPr>
          <w:p w14:paraId="061404F7" w14:textId="77777777" w:rsidR="00D83BC4" w:rsidRPr="00D83BC4" w:rsidRDefault="00D83BC4" w:rsidP="00D83BC4">
            <w:pPr>
              <w:jc w:val="both"/>
              <w:rPr>
                <w:rFonts w:ascii="Times New Roman" w:hAnsi="Times New Roman" w:cs="Times New Roman"/>
                <w:sz w:val="20"/>
                <w:szCs w:val="20"/>
              </w:rPr>
            </w:pPr>
          </w:p>
        </w:tc>
        <w:tc>
          <w:tcPr>
            <w:tcW w:w="642" w:type="pct"/>
          </w:tcPr>
          <w:p w14:paraId="490F3CD0"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Formalización de proyectos</w:t>
            </w:r>
          </w:p>
        </w:tc>
        <w:tc>
          <w:tcPr>
            <w:tcW w:w="670" w:type="pct"/>
          </w:tcPr>
          <w:p w14:paraId="689CE388"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Porcentaje de convocatorias formalizadas en tiempo</w:t>
            </w:r>
          </w:p>
        </w:tc>
        <w:tc>
          <w:tcPr>
            <w:tcW w:w="2177" w:type="pct"/>
          </w:tcPr>
          <w:p w14:paraId="65D1CECA"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Informes técnicos que se debieron enviar a dictaminar en el periodo t: Archivo administrativo Informe de seguimiento técnico trimestral de los proyectos de los fondos sectoriales elaborado por los Secretarios Técnicos de los Fondos Sectoriales. Trimestral. http://www.inegi.org.mx/est/contenidos/proyectos/cn/pibt/default.aspx; Informes técnicos enviados a dictaminar en el periodo t: Archivo administrativo Informe de seguimiento técnico trimestral de los proyectos de los fondos sectoriales elaborado por los Secretarios Técnicos de los Fondos Sectoriales. Trimestral. http://www.inegi.org.mx/est/contenidos/proyectos/cn/pibt/default.aspx</w:t>
            </w:r>
          </w:p>
        </w:tc>
        <w:tc>
          <w:tcPr>
            <w:tcW w:w="947" w:type="pct"/>
          </w:tcPr>
          <w:p w14:paraId="3CF71B49"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Se cuenta con los recursos humanos materiales y financieros para realizar las actividades de seguimiento técnico y visitas in situ.</w:t>
            </w:r>
          </w:p>
        </w:tc>
      </w:tr>
      <w:tr w:rsidR="00D83BC4" w:rsidRPr="00D83BC4" w14:paraId="4A672E97" w14:textId="77777777" w:rsidTr="008922A3">
        <w:tc>
          <w:tcPr>
            <w:tcW w:w="564" w:type="pct"/>
            <w:vMerge/>
            <w:vAlign w:val="center"/>
          </w:tcPr>
          <w:p w14:paraId="6D074C15" w14:textId="77777777" w:rsidR="00D83BC4" w:rsidRPr="00D83BC4" w:rsidRDefault="00D83BC4" w:rsidP="00D83BC4">
            <w:pPr>
              <w:jc w:val="both"/>
              <w:rPr>
                <w:rFonts w:ascii="Times New Roman" w:hAnsi="Times New Roman" w:cs="Times New Roman"/>
                <w:sz w:val="20"/>
                <w:szCs w:val="20"/>
              </w:rPr>
            </w:pPr>
          </w:p>
        </w:tc>
        <w:tc>
          <w:tcPr>
            <w:tcW w:w="642" w:type="pct"/>
          </w:tcPr>
          <w:p w14:paraId="4BFEB4CB"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Seguimiento de proyectos</w:t>
            </w:r>
          </w:p>
        </w:tc>
        <w:tc>
          <w:tcPr>
            <w:tcW w:w="670" w:type="pct"/>
          </w:tcPr>
          <w:p w14:paraId="056AB0A2"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Porcentaje de proyectos enviados a dictaminar</w:t>
            </w:r>
          </w:p>
        </w:tc>
        <w:tc>
          <w:tcPr>
            <w:tcW w:w="2177" w:type="pct"/>
          </w:tcPr>
          <w:p w14:paraId="6906E501"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Informes técnicos que se debieron enviar a dictaminar en el periodo t: Archivo administrativo Informe de seguimiento técnico trimestral de los proyectos de los fondos sectoriales elaborado por los Secretarios Técnicos de los Fondos Sectoriales. Trimestral. http://www.inegi.org.mx/est/contenidos/proyectos/cn/pibt/default.aspx; Informes técnicos enviados a dictaminar en el periodo t: Archivo administrativo Informe de seguimiento técnico trimestral de los proyectos de los fondos sectoriales elaborado por los Secretarios Técnicos de los Fondos Sectoriales. Trimestral. http://www.inegi.org.mx/est/contenidos/proyectos/cn/pibt/default.aspx</w:t>
            </w:r>
          </w:p>
        </w:tc>
        <w:tc>
          <w:tcPr>
            <w:tcW w:w="947" w:type="pct"/>
          </w:tcPr>
          <w:p w14:paraId="488C535F" w14:textId="77777777" w:rsidR="00D83BC4" w:rsidRPr="00D83BC4" w:rsidRDefault="00D83BC4" w:rsidP="00D83BC4">
            <w:pPr>
              <w:jc w:val="both"/>
              <w:rPr>
                <w:rFonts w:ascii="Times New Roman" w:hAnsi="Times New Roman" w:cs="Times New Roman"/>
                <w:sz w:val="20"/>
                <w:szCs w:val="20"/>
              </w:rPr>
            </w:pPr>
            <w:r w:rsidRPr="00D83BC4">
              <w:rPr>
                <w:rFonts w:ascii="Times New Roman" w:hAnsi="Times New Roman" w:cs="Times New Roman"/>
                <w:sz w:val="20"/>
                <w:szCs w:val="20"/>
              </w:rPr>
              <w:t>Se cuenta con los recursos humanos materiales y financieros para realizar las actividades de seguimiento técnico y visitas in situ.</w:t>
            </w:r>
          </w:p>
        </w:tc>
      </w:tr>
    </w:tbl>
    <w:p w14:paraId="737330D7" w14:textId="77777777" w:rsidR="00D83BC4" w:rsidRPr="00D83BC4" w:rsidRDefault="00D83BC4" w:rsidP="00D83BC4">
      <w:pPr>
        <w:autoSpaceDE w:val="0"/>
        <w:autoSpaceDN w:val="0"/>
        <w:adjustRightInd w:val="0"/>
        <w:jc w:val="both"/>
        <w:rPr>
          <w:rFonts w:ascii="Arial" w:hAnsi="Arial" w:cs="Arial"/>
        </w:rPr>
      </w:pPr>
    </w:p>
    <w:p w14:paraId="3194066A" w14:textId="77777777" w:rsidR="00D83BC4" w:rsidRPr="00D83BC4" w:rsidRDefault="00D83BC4" w:rsidP="00D83BC4">
      <w:pPr>
        <w:spacing w:line="360" w:lineRule="auto"/>
        <w:jc w:val="both"/>
        <w:rPr>
          <w:rFonts w:ascii="Times New Roman" w:hAnsi="Times New Roman" w:cs="Times New Roman"/>
        </w:rPr>
      </w:pPr>
    </w:p>
    <w:p w14:paraId="16C6DF7C" w14:textId="65DBFE38" w:rsidR="00D83BC4" w:rsidRPr="00D83BC4" w:rsidRDefault="00D83BC4" w:rsidP="00014207">
      <w:pPr>
        <w:pStyle w:val="Ttulo2"/>
        <w:rPr>
          <w:rFonts w:ascii="Times New Roman" w:hAnsi="Times New Roman" w:cs="Times New Roman"/>
          <w:b/>
          <w:bCs/>
        </w:rPr>
      </w:pPr>
      <w:bookmarkStart w:id="66" w:name="_Toc32920338"/>
      <w:r w:rsidRPr="00D83BC4">
        <w:rPr>
          <w:rFonts w:ascii="Times New Roman" w:hAnsi="Times New Roman" w:cs="Times New Roman"/>
          <w:b/>
          <w:bCs/>
        </w:rPr>
        <w:lastRenderedPageBreak/>
        <w:t>V.5. Estimación del Costo Operativo del Programa</w:t>
      </w:r>
      <w:bookmarkEnd w:id="61"/>
      <w:bookmarkEnd w:id="66"/>
    </w:p>
    <w:p w14:paraId="66785CC1" w14:textId="77777777" w:rsidR="00D83BC4" w:rsidRPr="00D83BC4" w:rsidRDefault="00D83BC4" w:rsidP="008A47EB">
      <w:pPr>
        <w:spacing w:before="100" w:beforeAutospacing="1" w:line="360" w:lineRule="auto"/>
        <w:jc w:val="both"/>
        <w:rPr>
          <w:rFonts w:ascii="Times New Roman" w:hAnsi="Times New Roman" w:cs="Times New Roman"/>
        </w:rPr>
      </w:pPr>
      <w:r w:rsidRPr="00D83BC4">
        <w:rPr>
          <w:rFonts w:ascii="Times New Roman" w:hAnsi="Times New Roman" w:cs="Times New Roman"/>
        </w:rPr>
        <w:t xml:space="preserve">De acuerdo con las Reglas de Operación de los Fondos Sectoriales (II.5) los gastos de operación y los gastos de administración del </w:t>
      </w:r>
      <w:r w:rsidRPr="00D83BC4">
        <w:rPr>
          <w:rFonts w:ascii="Times New Roman" w:hAnsi="Times New Roman" w:cs="Times New Roman"/>
          <w:b/>
        </w:rPr>
        <w:t>“FONDO”</w:t>
      </w:r>
      <w:r w:rsidRPr="00D83BC4">
        <w:rPr>
          <w:rFonts w:ascii="Times New Roman" w:hAnsi="Times New Roman" w:cs="Times New Roman"/>
        </w:rPr>
        <w:t xml:space="preserve"> serán autorizados por el CTA con base al programa de trabajo y presupuesto respectivo, que al efecto le presenten el Secretario Administrativo y el Secretario Técnico.</w:t>
      </w:r>
    </w:p>
    <w:p w14:paraId="6C360E7D" w14:textId="77777777" w:rsidR="008A47EB" w:rsidRDefault="008A47EB" w:rsidP="002C2BC1">
      <w:pPr>
        <w:rPr>
          <w:rFonts w:ascii="Times New Roman" w:hAnsi="Times New Roman" w:cs="Times New Roman"/>
          <w:b/>
          <w:bCs/>
        </w:rPr>
      </w:pPr>
      <w:bookmarkStart w:id="67" w:name="_Toc453749511"/>
    </w:p>
    <w:p w14:paraId="328B479C" w14:textId="6316771D" w:rsidR="00D83BC4" w:rsidRPr="008A47EB" w:rsidRDefault="00D83BC4" w:rsidP="002C2BC1">
      <w:pPr>
        <w:rPr>
          <w:rFonts w:ascii="Times New Roman" w:hAnsi="Times New Roman" w:cs="Times New Roman"/>
          <w:b/>
          <w:bCs/>
          <w:color w:val="2F5496" w:themeColor="accent1" w:themeShade="BF"/>
        </w:rPr>
      </w:pPr>
      <w:r w:rsidRPr="008A47EB">
        <w:rPr>
          <w:rFonts w:ascii="Times New Roman" w:hAnsi="Times New Roman" w:cs="Times New Roman"/>
          <w:b/>
          <w:bCs/>
          <w:color w:val="2F5496" w:themeColor="accent1" w:themeShade="BF"/>
        </w:rPr>
        <w:t>V.5.1</w:t>
      </w:r>
      <w:r w:rsidR="009458C6" w:rsidRPr="008A47EB">
        <w:rPr>
          <w:rFonts w:ascii="Times New Roman" w:hAnsi="Times New Roman" w:cs="Times New Roman"/>
          <w:b/>
          <w:bCs/>
          <w:color w:val="2F5496" w:themeColor="accent1" w:themeShade="BF"/>
        </w:rPr>
        <w:t>.</w:t>
      </w:r>
      <w:r w:rsidRPr="008A47EB">
        <w:rPr>
          <w:rFonts w:ascii="Times New Roman" w:hAnsi="Times New Roman" w:cs="Times New Roman"/>
          <w:b/>
          <w:bCs/>
          <w:color w:val="2F5496" w:themeColor="accent1" w:themeShade="BF"/>
        </w:rPr>
        <w:t xml:space="preserve"> Gastos de Administración del Fondo</w:t>
      </w:r>
      <w:bookmarkEnd w:id="67"/>
    </w:p>
    <w:p w14:paraId="58922B14" w14:textId="77777777" w:rsidR="008A47EB" w:rsidRPr="00D83BC4" w:rsidRDefault="008A47EB" w:rsidP="002C2BC1">
      <w:pPr>
        <w:rPr>
          <w:rFonts w:ascii="Times New Roman" w:hAnsi="Times New Roman" w:cs="Times New Roman"/>
          <w:b/>
          <w:bCs/>
        </w:rPr>
      </w:pPr>
    </w:p>
    <w:p w14:paraId="2446E9F0" w14:textId="77777777" w:rsidR="00D83BC4" w:rsidRPr="00D83BC4" w:rsidRDefault="00D83BC4" w:rsidP="008A47EB">
      <w:pPr>
        <w:numPr>
          <w:ilvl w:val="0"/>
          <w:numId w:val="27"/>
        </w:numPr>
        <w:spacing w:before="100" w:beforeAutospacing="1" w:line="360" w:lineRule="auto"/>
        <w:ind w:left="714" w:hanging="357"/>
        <w:contextualSpacing/>
        <w:jc w:val="both"/>
        <w:rPr>
          <w:rFonts w:ascii="Times New Roman" w:hAnsi="Times New Roman" w:cs="Times New Roman"/>
        </w:rPr>
      </w:pPr>
      <w:r w:rsidRPr="00D83BC4">
        <w:rPr>
          <w:rFonts w:ascii="Times New Roman" w:hAnsi="Times New Roman" w:cs="Times New Roman"/>
        </w:rPr>
        <w:t>Honorarios fiduciarios y servicios bancarios de administración del portafolio de inversión:</w:t>
      </w:r>
    </w:p>
    <w:p w14:paraId="4F8973DA" w14:textId="77777777" w:rsidR="00D83BC4" w:rsidRPr="00D83BC4" w:rsidRDefault="00D83BC4" w:rsidP="00D83BC4">
      <w:pPr>
        <w:numPr>
          <w:ilvl w:val="0"/>
          <w:numId w:val="27"/>
        </w:numPr>
        <w:spacing w:line="360" w:lineRule="auto"/>
        <w:ind w:left="714" w:hanging="357"/>
        <w:contextualSpacing/>
        <w:jc w:val="both"/>
        <w:rPr>
          <w:rFonts w:ascii="Times New Roman" w:hAnsi="Times New Roman" w:cs="Times New Roman"/>
        </w:rPr>
      </w:pPr>
      <w:r w:rsidRPr="00D83BC4">
        <w:rPr>
          <w:rFonts w:ascii="Times New Roman" w:hAnsi="Times New Roman" w:cs="Times New Roman"/>
        </w:rPr>
        <w:t xml:space="preserve">Pago de servicios de contabilidad y asesoría, consultoría y/o asistencia técnica, legal y fiscal que requiera el </w:t>
      </w:r>
      <w:r w:rsidRPr="00D83BC4">
        <w:rPr>
          <w:rFonts w:ascii="Times New Roman" w:hAnsi="Times New Roman" w:cs="Times New Roman"/>
          <w:b/>
        </w:rPr>
        <w:t>Fondo</w:t>
      </w:r>
      <w:r w:rsidRPr="00D83BC4">
        <w:rPr>
          <w:rFonts w:ascii="Times New Roman" w:hAnsi="Times New Roman" w:cs="Times New Roman"/>
        </w:rPr>
        <w:t xml:space="preserve"> y</w:t>
      </w:r>
    </w:p>
    <w:p w14:paraId="672E5FF7" w14:textId="7A8B93FA" w:rsidR="00D83BC4" w:rsidRPr="008A47EB" w:rsidRDefault="00D83BC4" w:rsidP="00D83BC4">
      <w:pPr>
        <w:numPr>
          <w:ilvl w:val="0"/>
          <w:numId w:val="27"/>
        </w:numPr>
        <w:spacing w:line="360" w:lineRule="auto"/>
        <w:contextualSpacing/>
        <w:jc w:val="both"/>
        <w:rPr>
          <w:rFonts w:ascii="Times New Roman" w:hAnsi="Times New Roman" w:cs="Times New Roman"/>
        </w:rPr>
      </w:pPr>
      <w:r w:rsidRPr="00D83BC4">
        <w:rPr>
          <w:rFonts w:ascii="Times New Roman" w:hAnsi="Times New Roman" w:cs="Times New Roman"/>
        </w:rPr>
        <w:t xml:space="preserve">Pago de servicios de auditoría contable, fiscal, administrativa y legal que requiera el </w:t>
      </w:r>
      <w:r w:rsidRPr="00D83BC4">
        <w:rPr>
          <w:rFonts w:ascii="Times New Roman" w:hAnsi="Times New Roman" w:cs="Times New Roman"/>
          <w:b/>
        </w:rPr>
        <w:t>Fondo.</w:t>
      </w:r>
    </w:p>
    <w:p w14:paraId="57B8C55F" w14:textId="77777777" w:rsidR="008A47EB" w:rsidRPr="00D83BC4" w:rsidRDefault="008A47EB" w:rsidP="008A47EB">
      <w:pPr>
        <w:spacing w:line="360" w:lineRule="auto"/>
        <w:ind w:left="720"/>
        <w:contextualSpacing/>
        <w:jc w:val="both"/>
        <w:rPr>
          <w:rFonts w:ascii="Times New Roman" w:hAnsi="Times New Roman" w:cs="Times New Roman"/>
        </w:rPr>
      </w:pPr>
    </w:p>
    <w:p w14:paraId="7924648A" w14:textId="10018897" w:rsidR="00D83BC4" w:rsidRDefault="00D83BC4" w:rsidP="002C2BC1">
      <w:pPr>
        <w:rPr>
          <w:rFonts w:ascii="Times New Roman" w:hAnsi="Times New Roman" w:cs="Times New Roman"/>
          <w:b/>
          <w:bCs/>
          <w:color w:val="2F5496" w:themeColor="accent1" w:themeShade="BF"/>
        </w:rPr>
      </w:pPr>
      <w:bookmarkStart w:id="68" w:name="_Toc453749512"/>
      <w:r w:rsidRPr="008A47EB">
        <w:rPr>
          <w:rFonts w:ascii="Times New Roman" w:hAnsi="Times New Roman" w:cs="Times New Roman"/>
          <w:b/>
          <w:bCs/>
          <w:color w:val="2F5496" w:themeColor="accent1" w:themeShade="BF"/>
        </w:rPr>
        <w:t>V.5.2. Gastos de Operación del Fondo</w:t>
      </w:r>
      <w:bookmarkEnd w:id="68"/>
    </w:p>
    <w:p w14:paraId="25E1D0DD" w14:textId="77777777" w:rsidR="008A47EB" w:rsidRPr="008A47EB" w:rsidRDefault="008A47EB" w:rsidP="002C2BC1">
      <w:pPr>
        <w:rPr>
          <w:rFonts w:ascii="Times New Roman" w:hAnsi="Times New Roman" w:cs="Times New Roman"/>
          <w:b/>
          <w:bCs/>
          <w:color w:val="2F5496" w:themeColor="accent1" w:themeShade="BF"/>
        </w:rPr>
      </w:pPr>
    </w:p>
    <w:p w14:paraId="0431EBDC" w14:textId="77777777" w:rsidR="00D83BC4" w:rsidRPr="00D83BC4" w:rsidRDefault="00D83BC4" w:rsidP="00D83BC4">
      <w:pPr>
        <w:numPr>
          <w:ilvl w:val="0"/>
          <w:numId w:val="27"/>
        </w:numPr>
        <w:spacing w:line="360" w:lineRule="auto"/>
        <w:ind w:left="714" w:hanging="357"/>
        <w:contextualSpacing/>
        <w:jc w:val="both"/>
        <w:rPr>
          <w:rFonts w:ascii="Times New Roman" w:hAnsi="Times New Roman" w:cs="Times New Roman"/>
        </w:rPr>
      </w:pPr>
      <w:r w:rsidRPr="00D83BC4">
        <w:rPr>
          <w:rFonts w:ascii="Times New Roman" w:hAnsi="Times New Roman" w:cs="Times New Roman"/>
        </w:rPr>
        <w:t>Publicación de convocatorias;</w:t>
      </w:r>
    </w:p>
    <w:p w14:paraId="0A3215CA" w14:textId="77777777" w:rsidR="00D83BC4" w:rsidRPr="00D83BC4" w:rsidRDefault="00D83BC4" w:rsidP="00D83BC4">
      <w:pPr>
        <w:numPr>
          <w:ilvl w:val="0"/>
          <w:numId w:val="27"/>
        </w:numPr>
        <w:spacing w:line="360" w:lineRule="auto"/>
        <w:ind w:left="714" w:hanging="357"/>
        <w:contextualSpacing/>
        <w:jc w:val="both"/>
        <w:rPr>
          <w:rFonts w:ascii="Times New Roman" w:hAnsi="Times New Roman" w:cs="Times New Roman"/>
        </w:rPr>
      </w:pPr>
      <w:r w:rsidRPr="00D83BC4">
        <w:rPr>
          <w:rFonts w:ascii="Times New Roman" w:hAnsi="Times New Roman" w:cs="Times New Roman"/>
        </w:rPr>
        <w:t>Publicación de los resultados de las evaluaciones a las propuestas y los proyectos aprobados;</w:t>
      </w:r>
    </w:p>
    <w:p w14:paraId="3E7AA912" w14:textId="77777777" w:rsidR="00D83BC4" w:rsidRPr="00D83BC4" w:rsidRDefault="00D83BC4" w:rsidP="00D83BC4">
      <w:pPr>
        <w:numPr>
          <w:ilvl w:val="0"/>
          <w:numId w:val="27"/>
        </w:numPr>
        <w:spacing w:line="360" w:lineRule="auto"/>
        <w:ind w:left="714" w:hanging="357"/>
        <w:contextualSpacing/>
        <w:jc w:val="both"/>
        <w:rPr>
          <w:rFonts w:ascii="Times New Roman" w:hAnsi="Times New Roman" w:cs="Times New Roman"/>
        </w:rPr>
      </w:pPr>
      <w:r w:rsidRPr="00D83BC4">
        <w:rPr>
          <w:rFonts w:ascii="Times New Roman" w:hAnsi="Times New Roman" w:cs="Times New Roman"/>
        </w:rPr>
        <w:t>Realización de eventos de evaluación;</w:t>
      </w:r>
    </w:p>
    <w:p w14:paraId="02B4E458" w14:textId="77777777" w:rsidR="00D83BC4" w:rsidRPr="00D83BC4" w:rsidRDefault="00D83BC4" w:rsidP="00D83BC4">
      <w:pPr>
        <w:numPr>
          <w:ilvl w:val="0"/>
          <w:numId w:val="27"/>
        </w:numPr>
        <w:spacing w:line="360" w:lineRule="auto"/>
        <w:ind w:left="714" w:hanging="357"/>
        <w:contextualSpacing/>
        <w:jc w:val="both"/>
        <w:rPr>
          <w:rFonts w:ascii="Times New Roman" w:hAnsi="Times New Roman" w:cs="Times New Roman"/>
        </w:rPr>
      </w:pPr>
      <w:r w:rsidRPr="00D83BC4">
        <w:rPr>
          <w:rFonts w:ascii="Times New Roman" w:hAnsi="Times New Roman" w:cs="Times New Roman"/>
        </w:rPr>
        <w:t>Realizaciones de las sesiones de CTA;</w:t>
      </w:r>
    </w:p>
    <w:p w14:paraId="70A8BE69" w14:textId="77777777" w:rsidR="00D83BC4" w:rsidRPr="00D83BC4" w:rsidRDefault="00D83BC4" w:rsidP="00D83BC4">
      <w:pPr>
        <w:numPr>
          <w:ilvl w:val="0"/>
          <w:numId w:val="27"/>
        </w:numPr>
        <w:spacing w:line="360" w:lineRule="auto"/>
        <w:ind w:left="714" w:hanging="357"/>
        <w:contextualSpacing/>
        <w:jc w:val="both"/>
        <w:rPr>
          <w:rFonts w:ascii="Times New Roman" w:hAnsi="Times New Roman" w:cs="Times New Roman"/>
        </w:rPr>
      </w:pPr>
      <w:r w:rsidRPr="00D83BC4">
        <w:rPr>
          <w:rFonts w:ascii="Times New Roman" w:hAnsi="Times New Roman" w:cs="Times New Roman"/>
        </w:rPr>
        <w:t>Realización de eventos o acciones de divulgación y difusión;</w:t>
      </w:r>
    </w:p>
    <w:p w14:paraId="149DB610" w14:textId="77777777" w:rsidR="00D83BC4" w:rsidRPr="00D83BC4" w:rsidRDefault="00D83BC4" w:rsidP="00D83BC4">
      <w:pPr>
        <w:numPr>
          <w:ilvl w:val="0"/>
          <w:numId w:val="27"/>
        </w:numPr>
        <w:spacing w:line="360" w:lineRule="auto"/>
        <w:ind w:left="714" w:hanging="357"/>
        <w:contextualSpacing/>
        <w:jc w:val="both"/>
        <w:rPr>
          <w:rFonts w:ascii="Times New Roman" w:hAnsi="Times New Roman" w:cs="Times New Roman"/>
        </w:rPr>
      </w:pPr>
      <w:r w:rsidRPr="00D83BC4">
        <w:rPr>
          <w:rFonts w:ascii="Times New Roman" w:hAnsi="Times New Roman" w:cs="Times New Roman"/>
        </w:rPr>
        <w:t>Evaluación de propuestas, así como visitas técnicas y administrativas a los proyectos en desarrollo, incluyendo los gastos de viáticos y movilidad de los evaluadores del RCEA y del personal de apoyo de las Secretarías Técnica y Administrativa.</w:t>
      </w:r>
    </w:p>
    <w:p w14:paraId="015E4E38" w14:textId="77777777" w:rsidR="00D83BC4" w:rsidRPr="00D83BC4" w:rsidRDefault="00D83BC4" w:rsidP="00D83BC4">
      <w:pPr>
        <w:numPr>
          <w:ilvl w:val="0"/>
          <w:numId w:val="27"/>
        </w:numPr>
        <w:spacing w:line="360" w:lineRule="auto"/>
        <w:ind w:left="714" w:hanging="357"/>
        <w:contextualSpacing/>
        <w:jc w:val="both"/>
        <w:rPr>
          <w:rFonts w:ascii="Times New Roman" w:hAnsi="Times New Roman" w:cs="Times New Roman"/>
        </w:rPr>
      </w:pPr>
      <w:r w:rsidRPr="00D83BC4">
        <w:rPr>
          <w:rFonts w:ascii="Times New Roman" w:hAnsi="Times New Roman" w:cs="Times New Roman"/>
        </w:rPr>
        <w:t xml:space="preserve">Otros que el CTA apruebe para dar cumplimiento a su programa operativo anual, que estén directamente relacionados con el objeto y fines del </w:t>
      </w:r>
      <w:r w:rsidRPr="00D83BC4">
        <w:rPr>
          <w:rFonts w:ascii="Times New Roman" w:hAnsi="Times New Roman" w:cs="Times New Roman"/>
          <w:b/>
        </w:rPr>
        <w:t>Fondo.</w:t>
      </w:r>
    </w:p>
    <w:p w14:paraId="19EB7BFC" w14:textId="77777777" w:rsidR="00D83BC4" w:rsidRPr="00D83BC4" w:rsidRDefault="00D83BC4" w:rsidP="00D83BC4">
      <w:pPr>
        <w:spacing w:line="360" w:lineRule="auto"/>
        <w:jc w:val="both"/>
        <w:rPr>
          <w:rFonts w:ascii="Times New Roman" w:hAnsi="Times New Roman" w:cs="Times New Roman"/>
        </w:rPr>
      </w:pPr>
    </w:p>
    <w:p w14:paraId="7A002A84" w14:textId="173B4753" w:rsidR="00D83BC4" w:rsidRPr="00D83BC4" w:rsidRDefault="00D83BC4" w:rsidP="00D83BC4">
      <w:pPr>
        <w:spacing w:line="360" w:lineRule="auto"/>
        <w:jc w:val="both"/>
        <w:rPr>
          <w:rFonts w:ascii="Times New Roman" w:hAnsi="Times New Roman" w:cs="Times New Roman"/>
        </w:rPr>
      </w:pPr>
      <w:r w:rsidRPr="00D83BC4">
        <w:rPr>
          <w:rFonts w:ascii="Times New Roman" w:hAnsi="Times New Roman" w:cs="Times New Roman"/>
        </w:rPr>
        <w:t xml:space="preserve">Los gastos se efectuarán en función a la disponibilidad financiera con que cuente el </w:t>
      </w:r>
      <w:r w:rsidRPr="00D83BC4">
        <w:rPr>
          <w:rFonts w:ascii="Times New Roman" w:hAnsi="Times New Roman" w:cs="Times New Roman"/>
          <w:b/>
        </w:rPr>
        <w:t xml:space="preserve">Fondo, </w:t>
      </w:r>
      <w:r w:rsidRPr="00D83BC4">
        <w:rPr>
          <w:rFonts w:ascii="Times New Roman" w:hAnsi="Times New Roman" w:cs="Times New Roman"/>
        </w:rPr>
        <w:t xml:space="preserve">preferentemente utilizando los rendimientos de las inversiones realizadas con su patrimonio y en apego a la Ley de Ciencia y Tecnología, su ejercicio deberá realizarse de conformidad con el Contrato de Fideicomiso y a </w:t>
      </w:r>
      <w:r w:rsidR="00E23E2D" w:rsidRPr="00D83BC4">
        <w:rPr>
          <w:rFonts w:ascii="Times New Roman" w:hAnsi="Times New Roman" w:cs="Times New Roman"/>
        </w:rPr>
        <w:t>las Reglas</w:t>
      </w:r>
      <w:r w:rsidRPr="00D83BC4">
        <w:rPr>
          <w:rFonts w:ascii="Times New Roman" w:hAnsi="Times New Roman" w:cs="Times New Roman"/>
        </w:rPr>
        <w:t xml:space="preserve"> de Operación.</w:t>
      </w:r>
    </w:p>
    <w:p w14:paraId="12B8E337" w14:textId="0D3655E7" w:rsidR="00D83BC4" w:rsidRPr="00D83BC4" w:rsidRDefault="00D83BC4" w:rsidP="00D83BC4">
      <w:pPr>
        <w:spacing w:line="360" w:lineRule="auto"/>
        <w:jc w:val="both"/>
        <w:rPr>
          <w:rFonts w:ascii="Times New Roman" w:hAnsi="Times New Roman" w:cs="Times New Roman"/>
        </w:rPr>
      </w:pPr>
      <w:r w:rsidRPr="00D83BC4">
        <w:rPr>
          <w:rFonts w:ascii="Times New Roman" w:hAnsi="Times New Roman" w:cs="Times New Roman"/>
        </w:rPr>
        <w:lastRenderedPageBreak/>
        <w:t xml:space="preserve">En la tabla </w:t>
      </w:r>
      <w:r w:rsidR="008922A3">
        <w:rPr>
          <w:rFonts w:ascii="Times New Roman" w:hAnsi="Times New Roman" w:cs="Times New Roman"/>
        </w:rPr>
        <w:t>6</w:t>
      </w:r>
      <w:r w:rsidRPr="00D83BC4">
        <w:rPr>
          <w:rFonts w:ascii="Times New Roman" w:hAnsi="Times New Roman" w:cs="Times New Roman"/>
        </w:rPr>
        <w:t xml:space="preserve"> se muestra a continuación el Presupuesto d</w:t>
      </w:r>
      <w:r w:rsidR="00DA7C33">
        <w:rPr>
          <w:rFonts w:ascii="Times New Roman" w:hAnsi="Times New Roman" w:cs="Times New Roman"/>
        </w:rPr>
        <w:t>el Programa en los últimos once años 2010 a 2020</w:t>
      </w:r>
      <w:r w:rsidRPr="00D83BC4">
        <w:rPr>
          <w:rFonts w:ascii="Times New Roman" w:hAnsi="Times New Roman" w:cs="Times New Roman"/>
        </w:rPr>
        <w:t>:</w:t>
      </w:r>
    </w:p>
    <w:p w14:paraId="1C9A69AE" w14:textId="3ED54E9E" w:rsidR="00D83BC4" w:rsidRPr="00B25602" w:rsidRDefault="00D83BC4" w:rsidP="008922A3">
      <w:pPr>
        <w:spacing w:line="360" w:lineRule="auto"/>
        <w:jc w:val="center"/>
        <w:rPr>
          <w:rFonts w:ascii="Times New Roman" w:hAnsi="Times New Roman" w:cs="Times New Roman"/>
          <w:b/>
          <w:color w:val="323E4F" w:themeColor="text2" w:themeShade="BF"/>
        </w:rPr>
      </w:pPr>
      <w:r w:rsidRPr="00B25602">
        <w:rPr>
          <w:rFonts w:ascii="Times New Roman" w:hAnsi="Times New Roman" w:cs="Times New Roman"/>
          <w:b/>
          <w:color w:val="323E4F" w:themeColor="text2" w:themeShade="BF"/>
        </w:rPr>
        <w:t xml:space="preserve">Tabla </w:t>
      </w:r>
      <w:r w:rsidR="008922A3" w:rsidRPr="00B25602">
        <w:rPr>
          <w:rFonts w:ascii="Times New Roman" w:hAnsi="Times New Roman" w:cs="Times New Roman"/>
          <w:b/>
          <w:color w:val="323E4F" w:themeColor="text2" w:themeShade="BF"/>
        </w:rPr>
        <w:t>6</w:t>
      </w:r>
      <w:r w:rsidRPr="00B25602">
        <w:rPr>
          <w:rFonts w:ascii="Times New Roman" w:hAnsi="Times New Roman" w:cs="Times New Roman"/>
          <w:b/>
          <w:color w:val="323E4F" w:themeColor="text2" w:themeShade="BF"/>
        </w:rPr>
        <w:t>. Presupuesto del Programa en lo</w:t>
      </w:r>
      <w:r w:rsidR="00EA0CA0" w:rsidRPr="00B25602">
        <w:rPr>
          <w:rFonts w:ascii="Times New Roman" w:hAnsi="Times New Roman" w:cs="Times New Roman"/>
          <w:b/>
          <w:color w:val="323E4F" w:themeColor="text2" w:themeShade="BF"/>
        </w:rPr>
        <w:t>s últimos cinco años 2010 a 2020</w:t>
      </w:r>
    </w:p>
    <w:tbl>
      <w:tblPr>
        <w:tblStyle w:val="Tablaconcuadrcula6concolores"/>
        <w:tblW w:w="4126" w:type="dxa"/>
        <w:jc w:val="center"/>
        <w:tblLook w:val="04A0" w:firstRow="1" w:lastRow="0" w:firstColumn="1" w:lastColumn="0" w:noHBand="0" w:noVBand="1"/>
      </w:tblPr>
      <w:tblGrid>
        <w:gridCol w:w="1291"/>
        <w:gridCol w:w="2835"/>
      </w:tblGrid>
      <w:tr w:rsidR="00D83BC4" w:rsidRPr="00D83BC4" w14:paraId="7020DDF6" w14:textId="77777777" w:rsidTr="00B25602">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1291" w:type="dxa"/>
            <w:noWrap/>
            <w:hideMark/>
          </w:tcPr>
          <w:p w14:paraId="6AD4F414" w14:textId="77777777" w:rsidR="00D83BC4" w:rsidRPr="00D83BC4" w:rsidRDefault="00D83BC4" w:rsidP="008922A3">
            <w:pPr>
              <w:spacing w:line="360" w:lineRule="auto"/>
              <w:jc w:val="center"/>
              <w:rPr>
                <w:rFonts w:ascii="Times New Roman" w:eastAsia="Times New Roman" w:hAnsi="Times New Roman" w:cs="Times New Roman"/>
                <w:b w:val="0"/>
                <w:bCs w:val="0"/>
                <w:lang w:val="es-MX" w:eastAsia="es-MX"/>
              </w:rPr>
            </w:pPr>
            <w:r w:rsidRPr="00D83BC4">
              <w:rPr>
                <w:rFonts w:ascii="Times New Roman" w:eastAsia="Times New Roman" w:hAnsi="Times New Roman" w:cs="Times New Roman"/>
                <w:b w:val="0"/>
                <w:bCs w:val="0"/>
                <w:lang w:val="es-MX" w:eastAsia="es-MX"/>
              </w:rPr>
              <w:t>AÑO</w:t>
            </w:r>
          </w:p>
        </w:tc>
        <w:tc>
          <w:tcPr>
            <w:tcW w:w="2835" w:type="dxa"/>
            <w:hideMark/>
          </w:tcPr>
          <w:p w14:paraId="06A48221" w14:textId="1B13E276" w:rsidR="00D83BC4" w:rsidRPr="00D83BC4" w:rsidRDefault="00D83BC4" w:rsidP="008922A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es-MX" w:eastAsia="es-MX"/>
              </w:rPr>
            </w:pPr>
            <w:r w:rsidRPr="00D83BC4">
              <w:rPr>
                <w:rFonts w:ascii="Times New Roman" w:eastAsia="Times New Roman" w:hAnsi="Times New Roman" w:cs="Times New Roman"/>
                <w:b w:val="0"/>
                <w:bCs w:val="0"/>
                <w:lang w:val="es-MX" w:eastAsia="es-MX"/>
              </w:rPr>
              <w:t>MONTO</w:t>
            </w:r>
          </w:p>
        </w:tc>
      </w:tr>
      <w:tr w:rsidR="00D83BC4" w:rsidRPr="00D83BC4" w14:paraId="368B0C9C" w14:textId="77777777" w:rsidTr="00B256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1" w:type="dxa"/>
            <w:noWrap/>
            <w:hideMark/>
          </w:tcPr>
          <w:p w14:paraId="37F02C7D" w14:textId="77777777" w:rsidR="00D83BC4" w:rsidRPr="00D83BC4" w:rsidRDefault="00D83BC4" w:rsidP="00D83BC4">
            <w:pPr>
              <w:spacing w:line="360" w:lineRule="auto"/>
              <w:jc w:val="center"/>
              <w:rPr>
                <w:rFonts w:ascii="Times New Roman" w:eastAsia="Times New Roman" w:hAnsi="Times New Roman" w:cs="Times New Roman"/>
                <w:lang w:val="es-MX" w:eastAsia="es-MX"/>
              </w:rPr>
            </w:pPr>
            <w:r w:rsidRPr="00D83BC4">
              <w:rPr>
                <w:rFonts w:ascii="Times New Roman" w:eastAsia="Times New Roman" w:hAnsi="Times New Roman" w:cs="Times New Roman"/>
                <w:lang w:val="es-MX" w:eastAsia="es-MX"/>
              </w:rPr>
              <w:t>2010</w:t>
            </w:r>
          </w:p>
        </w:tc>
        <w:tc>
          <w:tcPr>
            <w:tcW w:w="2835" w:type="dxa"/>
            <w:noWrap/>
            <w:hideMark/>
          </w:tcPr>
          <w:p w14:paraId="13E796A6" w14:textId="77777777" w:rsidR="00D83BC4" w:rsidRPr="00EA0CA0" w:rsidRDefault="00D83BC4" w:rsidP="00D8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EA0CA0">
              <w:rPr>
                <w:rFonts w:ascii="Times New Roman" w:eastAsia="Times New Roman" w:hAnsi="Times New Roman" w:cs="Times New Roman"/>
                <w:lang w:val="es-MX" w:eastAsia="es-MX"/>
              </w:rPr>
              <w:t>$560,000,000.00</w:t>
            </w:r>
          </w:p>
        </w:tc>
      </w:tr>
      <w:tr w:rsidR="00D83BC4" w:rsidRPr="00D83BC4" w14:paraId="310F3684" w14:textId="77777777" w:rsidTr="00B25602">
        <w:trPr>
          <w:trHeight w:val="300"/>
          <w:jc w:val="center"/>
        </w:trPr>
        <w:tc>
          <w:tcPr>
            <w:cnfStyle w:val="001000000000" w:firstRow="0" w:lastRow="0" w:firstColumn="1" w:lastColumn="0" w:oddVBand="0" w:evenVBand="0" w:oddHBand="0" w:evenHBand="0" w:firstRowFirstColumn="0" w:firstRowLastColumn="0" w:lastRowFirstColumn="0" w:lastRowLastColumn="0"/>
            <w:tcW w:w="1291" w:type="dxa"/>
            <w:noWrap/>
            <w:hideMark/>
          </w:tcPr>
          <w:p w14:paraId="0F6FA041" w14:textId="77777777" w:rsidR="00D83BC4" w:rsidRPr="00D83BC4" w:rsidRDefault="00D83BC4" w:rsidP="00D83BC4">
            <w:pPr>
              <w:spacing w:line="360" w:lineRule="auto"/>
              <w:jc w:val="center"/>
              <w:rPr>
                <w:rFonts w:ascii="Times New Roman" w:eastAsia="Times New Roman" w:hAnsi="Times New Roman" w:cs="Times New Roman"/>
                <w:lang w:val="es-MX" w:eastAsia="es-MX"/>
              </w:rPr>
            </w:pPr>
            <w:r w:rsidRPr="00D83BC4">
              <w:rPr>
                <w:rFonts w:ascii="Times New Roman" w:eastAsia="Times New Roman" w:hAnsi="Times New Roman" w:cs="Times New Roman"/>
                <w:lang w:val="es-MX" w:eastAsia="es-MX"/>
              </w:rPr>
              <w:t>2011</w:t>
            </w:r>
          </w:p>
        </w:tc>
        <w:tc>
          <w:tcPr>
            <w:tcW w:w="2835" w:type="dxa"/>
            <w:noWrap/>
            <w:hideMark/>
          </w:tcPr>
          <w:p w14:paraId="4863A073" w14:textId="77777777" w:rsidR="00D83BC4" w:rsidRPr="00EA0CA0" w:rsidRDefault="00D83BC4" w:rsidP="00D83BC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EA0CA0">
              <w:rPr>
                <w:rFonts w:ascii="Times New Roman" w:eastAsia="Times New Roman" w:hAnsi="Times New Roman" w:cs="Times New Roman"/>
                <w:lang w:val="es-MX" w:eastAsia="es-MX"/>
              </w:rPr>
              <w:t>$628,000,000.00</w:t>
            </w:r>
          </w:p>
        </w:tc>
      </w:tr>
      <w:tr w:rsidR="00D83BC4" w:rsidRPr="00D83BC4" w14:paraId="6E2A7A1E" w14:textId="77777777" w:rsidTr="00B256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1" w:type="dxa"/>
            <w:noWrap/>
            <w:hideMark/>
          </w:tcPr>
          <w:p w14:paraId="2FAB3E85" w14:textId="77777777" w:rsidR="00D83BC4" w:rsidRPr="00D83BC4" w:rsidRDefault="00D83BC4" w:rsidP="00D83BC4">
            <w:pPr>
              <w:spacing w:line="360" w:lineRule="auto"/>
              <w:jc w:val="center"/>
              <w:rPr>
                <w:rFonts w:ascii="Times New Roman" w:eastAsia="Times New Roman" w:hAnsi="Times New Roman" w:cs="Times New Roman"/>
                <w:lang w:val="es-MX" w:eastAsia="es-MX"/>
              </w:rPr>
            </w:pPr>
            <w:r w:rsidRPr="00D83BC4">
              <w:rPr>
                <w:rFonts w:ascii="Times New Roman" w:eastAsia="Times New Roman" w:hAnsi="Times New Roman" w:cs="Times New Roman"/>
                <w:lang w:val="es-MX" w:eastAsia="es-MX"/>
              </w:rPr>
              <w:t>2012</w:t>
            </w:r>
          </w:p>
        </w:tc>
        <w:tc>
          <w:tcPr>
            <w:tcW w:w="2835" w:type="dxa"/>
            <w:noWrap/>
            <w:hideMark/>
          </w:tcPr>
          <w:p w14:paraId="578A429E" w14:textId="77777777" w:rsidR="00D83BC4" w:rsidRPr="00EA0CA0" w:rsidRDefault="00D83BC4" w:rsidP="00D8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EA0CA0">
              <w:rPr>
                <w:rFonts w:ascii="Times New Roman" w:eastAsia="Times New Roman" w:hAnsi="Times New Roman" w:cs="Times New Roman"/>
                <w:lang w:val="es-MX" w:eastAsia="es-MX"/>
              </w:rPr>
              <w:t>$415,000,000.00</w:t>
            </w:r>
          </w:p>
        </w:tc>
      </w:tr>
      <w:tr w:rsidR="00D83BC4" w:rsidRPr="00D83BC4" w14:paraId="59F18679" w14:textId="77777777" w:rsidTr="00B25602">
        <w:trPr>
          <w:trHeight w:val="300"/>
          <w:jc w:val="center"/>
        </w:trPr>
        <w:tc>
          <w:tcPr>
            <w:cnfStyle w:val="001000000000" w:firstRow="0" w:lastRow="0" w:firstColumn="1" w:lastColumn="0" w:oddVBand="0" w:evenVBand="0" w:oddHBand="0" w:evenHBand="0" w:firstRowFirstColumn="0" w:firstRowLastColumn="0" w:lastRowFirstColumn="0" w:lastRowLastColumn="0"/>
            <w:tcW w:w="1291" w:type="dxa"/>
            <w:noWrap/>
            <w:hideMark/>
          </w:tcPr>
          <w:p w14:paraId="6E9BBF1E" w14:textId="77777777" w:rsidR="00D83BC4" w:rsidRPr="00D83BC4" w:rsidRDefault="00D83BC4" w:rsidP="00D83BC4">
            <w:pPr>
              <w:spacing w:line="360" w:lineRule="auto"/>
              <w:jc w:val="center"/>
              <w:rPr>
                <w:rFonts w:ascii="Times New Roman" w:eastAsia="Times New Roman" w:hAnsi="Times New Roman" w:cs="Times New Roman"/>
                <w:lang w:val="es-MX" w:eastAsia="es-MX"/>
              </w:rPr>
            </w:pPr>
            <w:r w:rsidRPr="00D83BC4">
              <w:rPr>
                <w:rFonts w:ascii="Times New Roman" w:eastAsia="Times New Roman" w:hAnsi="Times New Roman" w:cs="Times New Roman"/>
                <w:lang w:val="es-MX" w:eastAsia="es-MX"/>
              </w:rPr>
              <w:t>2013</w:t>
            </w:r>
          </w:p>
        </w:tc>
        <w:tc>
          <w:tcPr>
            <w:tcW w:w="2835" w:type="dxa"/>
            <w:noWrap/>
            <w:hideMark/>
          </w:tcPr>
          <w:p w14:paraId="67FFC33A" w14:textId="77777777" w:rsidR="00D83BC4" w:rsidRPr="00EA0CA0" w:rsidRDefault="00D83BC4" w:rsidP="00D83BC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EA0CA0">
              <w:rPr>
                <w:rFonts w:ascii="Times New Roman" w:eastAsia="Times New Roman" w:hAnsi="Times New Roman" w:cs="Times New Roman"/>
                <w:lang w:val="es-MX" w:eastAsia="es-MX"/>
              </w:rPr>
              <w:t>$738,831,923.00</w:t>
            </w:r>
          </w:p>
        </w:tc>
      </w:tr>
      <w:tr w:rsidR="00D83BC4" w:rsidRPr="00D83BC4" w14:paraId="14E6101B" w14:textId="77777777" w:rsidTr="00B256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1" w:type="dxa"/>
            <w:noWrap/>
            <w:hideMark/>
          </w:tcPr>
          <w:p w14:paraId="21C0BA35" w14:textId="77777777" w:rsidR="00D83BC4" w:rsidRPr="00D83BC4" w:rsidRDefault="00D83BC4" w:rsidP="00D83BC4">
            <w:pPr>
              <w:spacing w:line="360" w:lineRule="auto"/>
              <w:jc w:val="center"/>
              <w:rPr>
                <w:rFonts w:ascii="Times New Roman" w:eastAsia="Times New Roman" w:hAnsi="Times New Roman" w:cs="Times New Roman"/>
                <w:lang w:val="es-MX" w:eastAsia="es-MX"/>
              </w:rPr>
            </w:pPr>
            <w:r w:rsidRPr="00D83BC4">
              <w:rPr>
                <w:rFonts w:ascii="Times New Roman" w:eastAsia="Times New Roman" w:hAnsi="Times New Roman" w:cs="Times New Roman"/>
                <w:lang w:val="es-MX" w:eastAsia="es-MX"/>
              </w:rPr>
              <w:t>2014</w:t>
            </w:r>
          </w:p>
        </w:tc>
        <w:tc>
          <w:tcPr>
            <w:tcW w:w="2835" w:type="dxa"/>
            <w:noWrap/>
            <w:hideMark/>
          </w:tcPr>
          <w:p w14:paraId="79B44C75" w14:textId="77777777" w:rsidR="00D83BC4" w:rsidRPr="00EA0CA0" w:rsidRDefault="00D83BC4" w:rsidP="00D8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EA0CA0">
              <w:rPr>
                <w:rFonts w:ascii="Times New Roman" w:eastAsia="Times New Roman" w:hAnsi="Times New Roman" w:cs="Times New Roman"/>
                <w:lang w:val="es-MX" w:eastAsia="es-MX"/>
              </w:rPr>
              <w:t>$854,000,000.00</w:t>
            </w:r>
          </w:p>
        </w:tc>
      </w:tr>
      <w:tr w:rsidR="00D83BC4" w:rsidRPr="00D83BC4" w14:paraId="3D8E3360" w14:textId="77777777" w:rsidTr="00B25602">
        <w:trPr>
          <w:trHeight w:val="315"/>
          <w:jc w:val="center"/>
        </w:trPr>
        <w:tc>
          <w:tcPr>
            <w:cnfStyle w:val="001000000000" w:firstRow="0" w:lastRow="0" w:firstColumn="1" w:lastColumn="0" w:oddVBand="0" w:evenVBand="0" w:oddHBand="0" w:evenHBand="0" w:firstRowFirstColumn="0" w:firstRowLastColumn="0" w:lastRowFirstColumn="0" w:lastRowLastColumn="0"/>
            <w:tcW w:w="1291" w:type="dxa"/>
            <w:noWrap/>
            <w:hideMark/>
          </w:tcPr>
          <w:p w14:paraId="590488FD" w14:textId="77777777" w:rsidR="00D83BC4" w:rsidRPr="00D83BC4" w:rsidRDefault="00D83BC4" w:rsidP="00D83BC4">
            <w:pPr>
              <w:spacing w:line="360" w:lineRule="auto"/>
              <w:jc w:val="center"/>
              <w:rPr>
                <w:rFonts w:ascii="Times New Roman" w:eastAsia="Times New Roman" w:hAnsi="Times New Roman" w:cs="Times New Roman"/>
                <w:lang w:val="es-MX" w:eastAsia="es-MX"/>
              </w:rPr>
            </w:pPr>
            <w:r w:rsidRPr="00D83BC4">
              <w:rPr>
                <w:rFonts w:ascii="Times New Roman" w:eastAsia="Times New Roman" w:hAnsi="Times New Roman" w:cs="Times New Roman"/>
                <w:lang w:val="es-MX" w:eastAsia="es-MX"/>
              </w:rPr>
              <w:t>2015</w:t>
            </w:r>
          </w:p>
        </w:tc>
        <w:tc>
          <w:tcPr>
            <w:tcW w:w="2835" w:type="dxa"/>
            <w:noWrap/>
            <w:hideMark/>
          </w:tcPr>
          <w:p w14:paraId="1E08400F" w14:textId="77777777" w:rsidR="00D83BC4" w:rsidRPr="00EA0CA0" w:rsidRDefault="00D83BC4" w:rsidP="00B2560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EA0CA0">
              <w:rPr>
                <w:rFonts w:ascii="Times New Roman" w:eastAsia="Times New Roman" w:hAnsi="Times New Roman" w:cs="Times New Roman"/>
                <w:lang w:val="es-MX" w:eastAsia="es-MX"/>
              </w:rPr>
              <w:t>$789,680,000.00</w:t>
            </w:r>
          </w:p>
        </w:tc>
      </w:tr>
      <w:tr w:rsidR="00EA0CA0" w:rsidRPr="00D83BC4" w14:paraId="41CA9307" w14:textId="77777777" w:rsidTr="00B2560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91" w:type="dxa"/>
            <w:noWrap/>
          </w:tcPr>
          <w:p w14:paraId="154E5C36" w14:textId="10C2EDAC" w:rsidR="00EA0CA0" w:rsidRPr="00D83BC4" w:rsidRDefault="00EA0CA0" w:rsidP="00EA0CA0">
            <w:pPr>
              <w:spacing w:line="360" w:lineRule="auto"/>
              <w:jc w:val="center"/>
              <w:rPr>
                <w:rFonts w:ascii="Times New Roman" w:eastAsia="Times New Roman" w:hAnsi="Times New Roman" w:cs="Times New Roman"/>
                <w:lang w:val="es-MX" w:eastAsia="es-MX"/>
              </w:rPr>
            </w:pPr>
            <w:r>
              <w:rPr>
                <w:rFonts w:ascii="Times New Roman" w:eastAsia="Times New Roman" w:hAnsi="Times New Roman" w:cs="Times New Roman"/>
                <w:lang w:val="es-MX" w:eastAsia="es-MX"/>
              </w:rPr>
              <w:t>2016</w:t>
            </w:r>
          </w:p>
        </w:tc>
        <w:tc>
          <w:tcPr>
            <w:tcW w:w="2835" w:type="dxa"/>
            <w:noWrap/>
          </w:tcPr>
          <w:p w14:paraId="7A3441BB" w14:textId="5F4DA195" w:rsidR="00EA0CA0" w:rsidRPr="00EA0CA0" w:rsidRDefault="00EA0CA0" w:rsidP="00EA0C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EA0CA0">
              <w:rPr>
                <w:rFonts w:ascii="Times New Roman" w:hAnsi="Times New Roman" w:cs="Times New Roman"/>
              </w:rPr>
              <w:t xml:space="preserve"> $792.660,000.00 </w:t>
            </w:r>
          </w:p>
        </w:tc>
      </w:tr>
      <w:tr w:rsidR="00EA0CA0" w:rsidRPr="00D83BC4" w14:paraId="2742ACE0" w14:textId="77777777" w:rsidTr="00B25602">
        <w:trPr>
          <w:trHeight w:val="315"/>
          <w:jc w:val="center"/>
        </w:trPr>
        <w:tc>
          <w:tcPr>
            <w:cnfStyle w:val="001000000000" w:firstRow="0" w:lastRow="0" w:firstColumn="1" w:lastColumn="0" w:oddVBand="0" w:evenVBand="0" w:oddHBand="0" w:evenHBand="0" w:firstRowFirstColumn="0" w:firstRowLastColumn="0" w:lastRowFirstColumn="0" w:lastRowLastColumn="0"/>
            <w:tcW w:w="1291" w:type="dxa"/>
            <w:noWrap/>
          </w:tcPr>
          <w:p w14:paraId="4646E6E7" w14:textId="26021029" w:rsidR="00EA0CA0" w:rsidRPr="00D83BC4" w:rsidRDefault="00EA0CA0" w:rsidP="00EA0CA0">
            <w:pPr>
              <w:spacing w:line="360" w:lineRule="auto"/>
              <w:jc w:val="center"/>
              <w:rPr>
                <w:rFonts w:ascii="Times New Roman" w:eastAsia="Times New Roman" w:hAnsi="Times New Roman" w:cs="Times New Roman"/>
                <w:lang w:val="es-MX" w:eastAsia="es-MX"/>
              </w:rPr>
            </w:pPr>
            <w:r>
              <w:rPr>
                <w:rFonts w:ascii="Times New Roman" w:eastAsia="Times New Roman" w:hAnsi="Times New Roman" w:cs="Times New Roman"/>
                <w:lang w:val="es-MX" w:eastAsia="es-MX"/>
              </w:rPr>
              <w:t>2017</w:t>
            </w:r>
          </w:p>
        </w:tc>
        <w:tc>
          <w:tcPr>
            <w:tcW w:w="2835" w:type="dxa"/>
            <w:noWrap/>
          </w:tcPr>
          <w:p w14:paraId="29150A8E" w14:textId="2F957947" w:rsidR="00EA0CA0" w:rsidRPr="00EA0CA0" w:rsidRDefault="00EA0CA0" w:rsidP="00EA0C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EA0CA0">
              <w:rPr>
                <w:rFonts w:ascii="Times New Roman" w:hAnsi="Times New Roman" w:cs="Times New Roman"/>
              </w:rPr>
              <w:t xml:space="preserve"> $500,000,000.00</w:t>
            </w:r>
          </w:p>
        </w:tc>
      </w:tr>
      <w:tr w:rsidR="00EA0CA0" w:rsidRPr="00D83BC4" w14:paraId="0CAA7F87" w14:textId="77777777" w:rsidTr="00B2560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91" w:type="dxa"/>
            <w:noWrap/>
          </w:tcPr>
          <w:p w14:paraId="435767B0" w14:textId="195A8323" w:rsidR="00EA0CA0" w:rsidRPr="00D83BC4" w:rsidRDefault="00EA0CA0" w:rsidP="00EA0CA0">
            <w:pPr>
              <w:spacing w:line="360" w:lineRule="auto"/>
              <w:jc w:val="center"/>
              <w:rPr>
                <w:rFonts w:ascii="Times New Roman" w:eastAsia="Times New Roman" w:hAnsi="Times New Roman" w:cs="Times New Roman"/>
                <w:lang w:val="es-MX" w:eastAsia="es-MX"/>
              </w:rPr>
            </w:pPr>
            <w:r>
              <w:rPr>
                <w:rFonts w:ascii="Times New Roman" w:eastAsia="Times New Roman" w:hAnsi="Times New Roman" w:cs="Times New Roman"/>
                <w:lang w:val="es-MX" w:eastAsia="es-MX"/>
              </w:rPr>
              <w:t>2018</w:t>
            </w:r>
          </w:p>
        </w:tc>
        <w:tc>
          <w:tcPr>
            <w:tcW w:w="2835" w:type="dxa"/>
            <w:noWrap/>
          </w:tcPr>
          <w:p w14:paraId="0B31B2F1" w14:textId="0B33DE6E" w:rsidR="00EA0CA0" w:rsidRPr="00EA0CA0" w:rsidRDefault="00EA0CA0" w:rsidP="00EA0C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EA0CA0">
              <w:rPr>
                <w:rFonts w:ascii="Times New Roman" w:hAnsi="Times New Roman" w:cs="Times New Roman"/>
              </w:rPr>
              <w:t xml:space="preserve"> $350,000,000.00 </w:t>
            </w:r>
          </w:p>
        </w:tc>
      </w:tr>
      <w:tr w:rsidR="00EA0CA0" w:rsidRPr="00D83BC4" w14:paraId="1E884214" w14:textId="77777777" w:rsidTr="00B25602">
        <w:trPr>
          <w:trHeight w:val="315"/>
          <w:jc w:val="center"/>
        </w:trPr>
        <w:tc>
          <w:tcPr>
            <w:cnfStyle w:val="001000000000" w:firstRow="0" w:lastRow="0" w:firstColumn="1" w:lastColumn="0" w:oddVBand="0" w:evenVBand="0" w:oddHBand="0" w:evenHBand="0" w:firstRowFirstColumn="0" w:firstRowLastColumn="0" w:lastRowFirstColumn="0" w:lastRowLastColumn="0"/>
            <w:tcW w:w="1291" w:type="dxa"/>
            <w:noWrap/>
          </w:tcPr>
          <w:p w14:paraId="1144E7B3" w14:textId="3444380C" w:rsidR="00EA0CA0" w:rsidRPr="00D83BC4" w:rsidRDefault="00EA0CA0" w:rsidP="00EA0CA0">
            <w:pPr>
              <w:spacing w:line="360" w:lineRule="auto"/>
              <w:jc w:val="center"/>
              <w:rPr>
                <w:rFonts w:ascii="Times New Roman" w:eastAsia="Times New Roman" w:hAnsi="Times New Roman" w:cs="Times New Roman"/>
                <w:lang w:val="es-MX" w:eastAsia="es-MX"/>
              </w:rPr>
            </w:pPr>
            <w:r>
              <w:rPr>
                <w:rFonts w:ascii="Times New Roman" w:eastAsia="Times New Roman" w:hAnsi="Times New Roman" w:cs="Times New Roman"/>
                <w:lang w:val="es-MX" w:eastAsia="es-MX"/>
              </w:rPr>
              <w:t>2019</w:t>
            </w:r>
          </w:p>
        </w:tc>
        <w:tc>
          <w:tcPr>
            <w:tcW w:w="2835" w:type="dxa"/>
            <w:noWrap/>
          </w:tcPr>
          <w:p w14:paraId="1B797B9F" w14:textId="3A2FF46D" w:rsidR="00EA0CA0" w:rsidRPr="00EA0CA0" w:rsidRDefault="00EA0CA0" w:rsidP="00EA0C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EA0CA0">
              <w:rPr>
                <w:rFonts w:ascii="Times New Roman" w:hAnsi="Times New Roman" w:cs="Times New Roman"/>
              </w:rPr>
              <w:t xml:space="preserve"> $364,550,000.00 </w:t>
            </w:r>
          </w:p>
        </w:tc>
      </w:tr>
      <w:tr w:rsidR="00EA0CA0" w:rsidRPr="00D83BC4" w14:paraId="464D1DC5" w14:textId="77777777" w:rsidTr="00B2560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91" w:type="dxa"/>
            <w:noWrap/>
          </w:tcPr>
          <w:p w14:paraId="2A4242FA" w14:textId="592AA209" w:rsidR="00EA0CA0" w:rsidRDefault="00EA0CA0" w:rsidP="00EA0CA0">
            <w:pPr>
              <w:spacing w:line="360" w:lineRule="auto"/>
              <w:jc w:val="center"/>
              <w:rPr>
                <w:rFonts w:ascii="Times New Roman" w:eastAsia="Times New Roman" w:hAnsi="Times New Roman" w:cs="Times New Roman"/>
                <w:lang w:val="es-MX" w:eastAsia="es-MX"/>
              </w:rPr>
            </w:pPr>
            <w:r>
              <w:rPr>
                <w:rFonts w:ascii="Times New Roman" w:eastAsia="Times New Roman" w:hAnsi="Times New Roman" w:cs="Times New Roman"/>
                <w:lang w:val="es-MX" w:eastAsia="es-MX"/>
              </w:rPr>
              <w:t>2020</w:t>
            </w:r>
          </w:p>
        </w:tc>
        <w:tc>
          <w:tcPr>
            <w:tcW w:w="2835" w:type="dxa"/>
            <w:noWrap/>
          </w:tcPr>
          <w:p w14:paraId="4B102AF7" w14:textId="5C25A01E" w:rsidR="00EA0CA0" w:rsidRPr="00EA0CA0" w:rsidRDefault="00EA0CA0" w:rsidP="00EA0C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EA0CA0">
              <w:rPr>
                <w:rFonts w:ascii="Times New Roman" w:hAnsi="Times New Roman" w:cs="Times New Roman"/>
              </w:rPr>
              <w:t xml:space="preserve"> $364,550,000.00 </w:t>
            </w:r>
          </w:p>
        </w:tc>
      </w:tr>
    </w:tbl>
    <w:p w14:paraId="1355BEFF" w14:textId="6B36E090" w:rsidR="00D83BC4" w:rsidRPr="008922A3" w:rsidRDefault="008922A3" w:rsidP="008922A3">
      <w:pPr>
        <w:spacing w:line="360" w:lineRule="auto"/>
        <w:ind w:left="2124" w:firstLine="708"/>
        <w:jc w:val="both"/>
        <w:rPr>
          <w:rFonts w:ascii="Times New Roman" w:hAnsi="Times New Roman" w:cs="Times New Roman"/>
          <w:sz w:val="16"/>
          <w:szCs w:val="16"/>
        </w:rPr>
      </w:pPr>
      <w:r w:rsidRPr="008922A3">
        <w:rPr>
          <w:rFonts w:ascii="Times New Roman" w:hAnsi="Times New Roman" w:cs="Times New Roman"/>
          <w:b/>
          <w:bCs/>
          <w:sz w:val="16"/>
          <w:szCs w:val="16"/>
        </w:rPr>
        <w:t>Fuente:</w:t>
      </w:r>
      <w:r w:rsidRPr="008922A3">
        <w:rPr>
          <w:rFonts w:ascii="Times New Roman" w:hAnsi="Times New Roman" w:cs="Times New Roman"/>
          <w:sz w:val="16"/>
          <w:szCs w:val="16"/>
        </w:rPr>
        <w:t xml:space="preserve"> Elaboración propia</w:t>
      </w:r>
    </w:p>
    <w:p w14:paraId="4ADE4372" w14:textId="435B3B8A" w:rsidR="00D83BC4" w:rsidRPr="00D83BC4" w:rsidRDefault="00D83BC4" w:rsidP="008A47EB">
      <w:pPr>
        <w:pStyle w:val="Ttulo1"/>
        <w:spacing w:before="100" w:beforeAutospacing="1"/>
        <w:rPr>
          <w:rFonts w:ascii="Times New Roman" w:hAnsi="Times New Roman" w:cs="Times New Roman"/>
          <w:b/>
          <w:bCs/>
          <w:sz w:val="26"/>
          <w:szCs w:val="26"/>
        </w:rPr>
      </w:pPr>
      <w:bookmarkStart w:id="69" w:name="_Toc447611684"/>
      <w:bookmarkStart w:id="70" w:name="_Toc32920339"/>
      <w:r w:rsidRPr="00D83BC4">
        <w:rPr>
          <w:rFonts w:ascii="Times New Roman" w:hAnsi="Times New Roman" w:cs="Times New Roman"/>
          <w:b/>
          <w:bCs/>
          <w:sz w:val="26"/>
          <w:szCs w:val="26"/>
        </w:rPr>
        <w:t>VI.</w:t>
      </w:r>
      <w:r w:rsidRPr="00D83BC4">
        <w:rPr>
          <w:rFonts w:ascii="Times New Roman" w:hAnsi="Times New Roman" w:cs="Times New Roman"/>
          <w:b/>
          <w:bCs/>
          <w:sz w:val="26"/>
          <w:szCs w:val="26"/>
        </w:rPr>
        <w:tab/>
        <w:t>Rendición de Cuentas y Transparencia</w:t>
      </w:r>
      <w:bookmarkEnd w:id="69"/>
      <w:bookmarkEnd w:id="70"/>
      <w:r w:rsidRPr="00D83BC4">
        <w:rPr>
          <w:rFonts w:ascii="Times New Roman" w:hAnsi="Times New Roman" w:cs="Times New Roman"/>
          <w:b/>
          <w:bCs/>
          <w:sz w:val="26"/>
          <w:szCs w:val="26"/>
        </w:rPr>
        <w:t xml:space="preserve"> </w:t>
      </w:r>
    </w:p>
    <w:p w14:paraId="4BCE4966" w14:textId="7C39FB5E" w:rsidR="00D83BC4" w:rsidRPr="00D83BC4" w:rsidRDefault="00D83BC4" w:rsidP="008A47EB">
      <w:pPr>
        <w:pStyle w:val="Ttulo2"/>
        <w:spacing w:before="100" w:beforeAutospacing="1"/>
        <w:rPr>
          <w:rFonts w:ascii="Times New Roman" w:hAnsi="Times New Roman" w:cs="Times New Roman"/>
          <w:b/>
          <w:bCs/>
        </w:rPr>
      </w:pPr>
      <w:bookmarkStart w:id="71" w:name="_Toc447611685"/>
      <w:bookmarkStart w:id="72" w:name="_Toc32920340"/>
      <w:r w:rsidRPr="00D83BC4">
        <w:rPr>
          <w:rFonts w:ascii="Times New Roman" w:hAnsi="Times New Roman" w:cs="Times New Roman"/>
          <w:b/>
          <w:bCs/>
        </w:rPr>
        <w:t>VI.</w:t>
      </w:r>
      <w:r w:rsidR="009458C6">
        <w:rPr>
          <w:rFonts w:ascii="Times New Roman" w:hAnsi="Times New Roman" w:cs="Times New Roman"/>
          <w:b/>
          <w:bCs/>
        </w:rPr>
        <w:t>1</w:t>
      </w:r>
      <w:r w:rsidRPr="00D83BC4">
        <w:rPr>
          <w:rFonts w:ascii="Times New Roman" w:hAnsi="Times New Roman" w:cs="Times New Roman"/>
          <w:b/>
          <w:bCs/>
        </w:rPr>
        <w:tab/>
        <w:t>Mecanismos de Rendición de Cuentas y Transparencia</w:t>
      </w:r>
      <w:bookmarkEnd w:id="71"/>
      <w:bookmarkEnd w:id="72"/>
      <w:r w:rsidRPr="00D83BC4">
        <w:rPr>
          <w:rFonts w:ascii="Times New Roman" w:hAnsi="Times New Roman" w:cs="Times New Roman"/>
          <w:b/>
          <w:bCs/>
        </w:rPr>
        <w:t xml:space="preserve"> </w:t>
      </w:r>
    </w:p>
    <w:p w14:paraId="6BB41251" w14:textId="02903983" w:rsidR="00D83BC4" w:rsidRDefault="00D83BC4" w:rsidP="008A47EB">
      <w:pPr>
        <w:spacing w:before="100" w:beforeAutospacing="1" w:line="360" w:lineRule="auto"/>
        <w:jc w:val="both"/>
        <w:rPr>
          <w:rFonts w:ascii="Times New Roman" w:hAnsi="Times New Roman" w:cs="Times New Roman"/>
        </w:rPr>
      </w:pPr>
      <w:bookmarkStart w:id="73" w:name="_Toc447611686"/>
      <w:r w:rsidRPr="00D83BC4">
        <w:rPr>
          <w:rFonts w:ascii="Times New Roman" w:hAnsi="Times New Roman" w:cs="Times New Roman"/>
        </w:rPr>
        <w:t xml:space="preserve">La divulgación y promoción de las actividades de los Fondos Sectoriales que componen el </w:t>
      </w:r>
      <w:r w:rsidR="009F7FFA" w:rsidRPr="00D83BC4">
        <w:rPr>
          <w:rFonts w:ascii="Times New Roman" w:hAnsi="Times New Roman" w:cs="Times New Roman"/>
        </w:rPr>
        <w:t>programa, se</w:t>
      </w:r>
      <w:r w:rsidRPr="00D83BC4">
        <w:rPr>
          <w:rFonts w:ascii="Times New Roman" w:hAnsi="Times New Roman" w:cs="Times New Roman"/>
        </w:rPr>
        <w:t xml:space="preserve"> realizan entre otros mecanismos, a través de medios de comuni</w:t>
      </w:r>
      <w:r w:rsidR="008805F3">
        <w:rPr>
          <w:rFonts w:ascii="Times New Roman" w:hAnsi="Times New Roman" w:cs="Times New Roman"/>
        </w:rPr>
        <w:t>cación impresos o electrónicos. Igualmente, a</w:t>
      </w:r>
      <w:r w:rsidRPr="00D83BC4">
        <w:rPr>
          <w:rFonts w:ascii="Times New Roman" w:hAnsi="Times New Roman" w:cs="Times New Roman"/>
        </w:rPr>
        <w:t xml:space="preserve"> través de eventos, talleres, foros y encuentros con la comu</w:t>
      </w:r>
      <w:r w:rsidR="00AE69E8">
        <w:rPr>
          <w:rFonts w:ascii="Times New Roman" w:hAnsi="Times New Roman" w:cs="Times New Roman"/>
        </w:rPr>
        <w:t>nidad científica y empresarial.</w:t>
      </w:r>
    </w:p>
    <w:p w14:paraId="47332DC6" w14:textId="77777777" w:rsidR="00AE69E8" w:rsidRPr="00D83BC4" w:rsidRDefault="00AE69E8" w:rsidP="00AE69E8">
      <w:pPr>
        <w:spacing w:line="360" w:lineRule="auto"/>
        <w:jc w:val="both"/>
        <w:rPr>
          <w:rFonts w:ascii="Times New Roman" w:hAnsi="Times New Roman" w:cs="Times New Roman"/>
        </w:rPr>
      </w:pPr>
    </w:p>
    <w:p w14:paraId="1903266A" w14:textId="68CAE726" w:rsidR="00D83BC4" w:rsidRDefault="00D83BC4" w:rsidP="00D83BC4">
      <w:pPr>
        <w:spacing w:line="360" w:lineRule="auto"/>
        <w:jc w:val="both"/>
        <w:rPr>
          <w:rFonts w:ascii="Times New Roman" w:hAnsi="Times New Roman" w:cs="Times New Roman"/>
          <w:u w:val="single"/>
        </w:rPr>
      </w:pPr>
      <w:r w:rsidRPr="00D83BC4">
        <w:rPr>
          <w:rFonts w:ascii="Times New Roman" w:hAnsi="Times New Roman" w:cs="Times New Roman"/>
        </w:rPr>
        <w:t xml:space="preserve">Dicha información se encuentra publicada en la página del </w:t>
      </w:r>
      <w:r w:rsidR="008922A3">
        <w:rPr>
          <w:rFonts w:ascii="Times New Roman" w:hAnsi="Times New Roman" w:cs="Times New Roman"/>
        </w:rPr>
        <w:t>CONACYT</w:t>
      </w:r>
      <w:r w:rsidR="009F7FFA">
        <w:rPr>
          <w:rFonts w:ascii="Times New Roman" w:hAnsi="Times New Roman" w:cs="Times New Roman"/>
        </w:rPr>
        <w:t>:</w:t>
      </w:r>
      <w:r w:rsidRPr="00D83BC4">
        <w:rPr>
          <w:rFonts w:ascii="Times New Roman" w:hAnsi="Times New Roman" w:cs="Times New Roman"/>
        </w:rPr>
        <w:t xml:space="preserve"> </w:t>
      </w:r>
    </w:p>
    <w:p w14:paraId="3962B3A6" w14:textId="239651AA" w:rsidR="009F7FFA" w:rsidRPr="009F7FFA" w:rsidRDefault="007A1A58" w:rsidP="00D83BC4">
      <w:pPr>
        <w:spacing w:line="360" w:lineRule="auto"/>
        <w:jc w:val="both"/>
        <w:rPr>
          <w:rFonts w:ascii="Times New Roman" w:hAnsi="Times New Roman" w:cs="Times New Roman"/>
          <w:color w:val="4472C4" w:themeColor="accent1"/>
        </w:rPr>
      </w:pPr>
      <w:hyperlink r:id="rId37" w:history="1">
        <w:r w:rsidR="0053360A" w:rsidRPr="003D3505">
          <w:rPr>
            <w:rStyle w:val="Hipervnculo"/>
          </w:rPr>
          <w:t>https://www.conacyt.gob.mx/</w:t>
        </w:r>
      </w:hyperlink>
    </w:p>
    <w:p w14:paraId="4795713A" w14:textId="77777777" w:rsidR="009F7FFA" w:rsidRDefault="009F7FFA" w:rsidP="00D83BC4">
      <w:pPr>
        <w:spacing w:line="360" w:lineRule="auto"/>
        <w:jc w:val="both"/>
        <w:rPr>
          <w:rFonts w:ascii="Times New Roman" w:hAnsi="Times New Roman" w:cs="Times New Roman"/>
        </w:rPr>
      </w:pPr>
    </w:p>
    <w:p w14:paraId="28E57512" w14:textId="2E196013" w:rsidR="00D83BC4" w:rsidRDefault="00D83BC4" w:rsidP="00D83BC4">
      <w:pPr>
        <w:spacing w:line="360" w:lineRule="auto"/>
        <w:jc w:val="both"/>
        <w:rPr>
          <w:rFonts w:ascii="Times New Roman" w:hAnsi="Times New Roman" w:cs="Times New Roman"/>
        </w:rPr>
      </w:pPr>
      <w:r w:rsidRPr="00D83BC4">
        <w:rPr>
          <w:rFonts w:ascii="Times New Roman" w:hAnsi="Times New Roman" w:cs="Times New Roman"/>
        </w:rPr>
        <w:lastRenderedPageBreak/>
        <w:t>Otro mecanismo existente para contribuir a la Rendición de Cuentas del Programa, es el Sistema Integrado de Información sobre Investigación Científica y Tecnológica</w:t>
      </w:r>
      <w:r w:rsidR="00801C61">
        <w:rPr>
          <w:rFonts w:ascii="Times New Roman" w:hAnsi="Times New Roman" w:cs="Times New Roman"/>
        </w:rPr>
        <w:t xml:space="preserve"> (SIICYT) que opera el </w:t>
      </w:r>
      <w:r w:rsidR="008922A3">
        <w:rPr>
          <w:rFonts w:ascii="Times New Roman" w:hAnsi="Times New Roman" w:cs="Times New Roman"/>
        </w:rPr>
        <w:t>CONACYT</w:t>
      </w:r>
      <w:r w:rsidR="00801C61">
        <w:rPr>
          <w:rFonts w:ascii="Times New Roman" w:hAnsi="Times New Roman" w:cs="Times New Roman"/>
        </w:rPr>
        <w:t xml:space="preserve">. El SIICYT está </w:t>
      </w:r>
      <w:r w:rsidR="009F7FFA">
        <w:rPr>
          <w:rFonts w:ascii="Times New Roman" w:hAnsi="Times New Roman" w:cs="Times New Roman"/>
        </w:rPr>
        <w:t>disponible en la siguiente liga:</w:t>
      </w:r>
      <w:r w:rsidR="0053360A" w:rsidRPr="0053360A">
        <w:t xml:space="preserve"> </w:t>
      </w:r>
      <w:hyperlink r:id="rId38" w:history="1">
        <w:r w:rsidR="0053360A">
          <w:rPr>
            <w:rStyle w:val="Hipervnculo"/>
          </w:rPr>
          <w:t>http://www.siicyt.gob.mx/</w:t>
        </w:r>
      </w:hyperlink>
      <w:r w:rsidRPr="009F7FFA">
        <w:rPr>
          <w:rFonts w:ascii="Times New Roman" w:hAnsi="Times New Roman" w:cs="Times New Roman"/>
          <w:color w:val="4472C4" w:themeColor="accent1"/>
        </w:rPr>
        <w:t xml:space="preserve">  </w:t>
      </w:r>
      <w:r w:rsidR="009F7FFA" w:rsidRPr="009F7FFA">
        <w:rPr>
          <w:rFonts w:ascii="Times New Roman" w:hAnsi="Times New Roman" w:cs="Times New Roman"/>
        </w:rPr>
        <w:t xml:space="preserve">y </w:t>
      </w:r>
      <w:r w:rsidR="00E637D6">
        <w:rPr>
          <w:rFonts w:ascii="Times New Roman" w:hAnsi="Times New Roman" w:cs="Times New Roman"/>
        </w:rPr>
        <w:t>ahí</w:t>
      </w:r>
      <w:r w:rsidR="009F7FFA">
        <w:rPr>
          <w:rFonts w:ascii="Times New Roman" w:hAnsi="Times New Roman" w:cs="Times New Roman"/>
        </w:rPr>
        <w:t xml:space="preserve"> se podrán encontrar</w:t>
      </w:r>
      <w:r w:rsidRPr="00D83BC4">
        <w:rPr>
          <w:rFonts w:ascii="Times New Roman" w:hAnsi="Times New Roman" w:cs="Times New Roman"/>
        </w:rPr>
        <w:t xml:space="preserve"> los documentos</w:t>
      </w:r>
      <w:r w:rsidR="009F7FFA">
        <w:rPr>
          <w:rFonts w:ascii="Times New Roman" w:hAnsi="Times New Roman" w:cs="Times New Roman"/>
        </w:rPr>
        <w:t xml:space="preserve"> normativos del Programa.</w:t>
      </w:r>
    </w:p>
    <w:p w14:paraId="1918A699" w14:textId="61BC07EF" w:rsidR="009F7FFA" w:rsidRDefault="009F7FFA" w:rsidP="00D83BC4">
      <w:pPr>
        <w:spacing w:line="360" w:lineRule="auto"/>
        <w:jc w:val="both"/>
        <w:rPr>
          <w:rFonts w:ascii="Times New Roman" w:hAnsi="Times New Roman" w:cs="Times New Roman"/>
        </w:rPr>
      </w:pPr>
    </w:p>
    <w:p w14:paraId="05893930" w14:textId="7F2F9A74" w:rsidR="009F7FFA" w:rsidRDefault="009F7FFA" w:rsidP="00D83BC4">
      <w:pPr>
        <w:spacing w:line="360" w:lineRule="auto"/>
        <w:jc w:val="both"/>
        <w:rPr>
          <w:rFonts w:ascii="Times New Roman" w:hAnsi="Times New Roman" w:cs="Times New Roman"/>
        </w:rPr>
      </w:pPr>
      <w:r>
        <w:rPr>
          <w:rFonts w:ascii="Times New Roman" w:hAnsi="Times New Roman" w:cs="Times New Roman"/>
        </w:rPr>
        <w:t>Por otro lado, los resultados de la implementación del Programa, pueden consultarse en los Informes de Actividades y Autoevaluación, que se pueden descargar del siguiente enlace del SIICYT:</w:t>
      </w:r>
    </w:p>
    <w:p w14:paraId="60454BF3" w14:textId="52E10537" w:rsidR="009F7FFA" w:rsidRDefault="009F7FFA" w:rsidP="00D83BC4">
      <w:pPr>
        <w:spacing w:line="360" w:lineRule="auto"/>
        <w:jc w:val="both"/>
        <w:rPr>
          <w:color w:val="4472C4" w:themeColor="accent1"/>
        </w:rPr>
      </w:pPr>
      <w:r w:rsidRPr="0053360A">
        <w:t>http://www.siicyt.gob.mx/index.php/transparencia/informes-</w:t>
      </w:r>
      <w:r w:rsidR="0053360A" w:rsidRPr="0053360A">
        <w:t>cona</w:t>
      </w:r>
      <w:r w:rsidR="0053360A">
        <w:t>cyt</w:t>
      </w:r>
    </w:p>
    <w:p w14:paraId="2B74675D" w14:textId="2BAE36B9" w:rsidR="00AE69E8" w:rsidRDefault="00AE69E8" w:rsidP="00D83BC4">
      <w:pPr>
        <w:spacing w:line="360" w:lineRule="auto"/>
        <w:jc w:val="both"/>
        <w:rPr>
          <w:color w:val="4472C4" w:themeColor="accent1"/>
        </w:rPr>
      </w:pPr>
    </w:p>
    <w:p w14:paraId="55762C2D" w14:textId="1938C71A" w:rsidR="00AE69E8" w:rsidRPr="008922A3" w:rsidRDefault="00AE69E8" w:rsidP="00D83BC4">
      <w:pPr>
        <w:spacing w:line="360" w:lineRule="auto"/>
        <w:jc w:val="both"/>
        <w:rPr>
          <w:rFonts w:ascii="Times New Roman" w:hAnsi="Times New Roman" w:cs="Times New Roman"/>
        </w:rPr>
      </w:pPr>
      <w:r w:rsidRPr="008922A3">
        <w:rPr>
          <w:rFonts w:ascii="Times New Roman" w:hAnsi="Times New Roman" w:cs="Times New Roman"/>
        </w:rPr>
        <w:t xml:space="preserve">Asimismo, el Programa reporta periódicamente el logro de sus metas a través de los indicadores de su MIR, cuyo avance se carga en el Portal Aplicativo de la Secretaría de Hacienda (PASH). Con el avance de los indicadores pueden detectarse las áreas de oportunidad del Programa que permitan incrementar su desempeño. </w:t>
      </w:r>
    </w:p>
    <w:p w14:paraId="05C8EEBC" w14:textId="56525671" w:rsidR="00D83BC4" w:rsidRPr="008922A3" w:rsidRDefault="00D83BC4" w:rsidP="00D83BC4">
      <w:pPr>
        <w:spacing w:line="360" w:lineRule="auto"/>
        <w:jc w:val="both"/>
        <w:rPr>
          <w:rFonts w:ascii="Times New Roman" w:hAnsi="Times New Roman" w:cs="Times New Roman"/>
        </w:rPr>
      </w:pPr>
    </w:p>
    <w:p w14:paraId="087B68CF" w14:textId="1B8C005B" w:rsidR="00D83BC4" w:rsidRPr="008922A3" w:rsidRDefault="00E637D6" w:rsidP="00D83BC4">
      <w:pPr>
        <w:spacing w:line="360" w:lineRule="auto"/>
        <w:jc w:val="both"/>
        <w:rPr>
          <w:rFonts w:ascii="Times New Roman" w:hAnsi="Times New Roman" w:cs="Times New Roman"/>
          <w:color w:val="4472C4" w:themeColor="accent1"/>
        </w:rPr>
      </w:pPr>
      <w:r w:rsidRPr="008922A3">
        <w:rPr>
          <w:rFonts w:ascii="Times New Roman" w:hAnsi="Times New Roman" w:cs="Times New Roman"/>
        </w:rPr>
        <w:t>Del mismo modo,</w:t>
      </w:r>
      <w:r w:rsidR="00D83BC4" w:rsidRPr="008922A3">
        <w:rPr>
          <w:rFonts w:ascii="Times New Roman" w:hAnsi="Times New Roman" w:cs="Times New Roman"/>
        </w:rPr>
        <w:t xml:space="preserve"> y con el fin de coadyuvar a ofrecer información de primera mano, en todos los casos el Fondo Sectorial correspondiente cuenta con un número de teléfono o correo electrónico para informar y orientar tanto al beneficiario como al ciudadano en general; se encuentra disponible en la página electrónica del </w:t>
      </w:r>
      <w:r w:rsidR="008922A3">
        <w:rPr>
          <w:rFonts w:ascii="Times New Roman" w:hAnsi="Times New Roman" w:cs="Times New Roman"/>
        </w:rPr>
        <w:t>CONACYT</w:t>
      </w:r>
      <w:r w:rsidRPr="008922A3">
        <w:rPr>
          <w:rFonts w:ascii="Times New Roman" w:hAnsi="Times New Roman" w:cs="Times New Roman"/>
        </w:rPr>
        <w:t>:</w:t>
      </w:r>
      <w:r w:rsidR="00D83BC4" w:rsidRPr="008922A3">
        <w:rPr>
          <w:rFonts w:ascii="Times New Roman" w:hAnsi="Times New Roman" w:cs="Times New Roman"/>
        </w:rPr>
        <w:t xml:space="preserve"> </w:t>
      </w:r>
      <w:hyperlink r:id="rId39" w:history="1">
        <w:r w:rsidR="0053360A" w:rsidRPr="003D3505">
          <w:rPr>
            <w:rStyle w:val="Hipervnculo"/>
            <w:rFonts w:ascii="Times New Roman" w:hAnsi="Times New Roman" w:cs="Times New Roman"/>
          </w:rPr>
          <w:t>http://www.conacyt.gob.mx/index.php/fondos-y-apoyos/fondos-sectoriales</w:t>
        </w:r>
      </w:hyperlink>
    </w:p>
    <w:p w14:paraId="01707DC2" w14:textId="77777777" w:rsidR="00D83BC4" w:rsidRPr="00D83BC4" w:rsidRDefault="00D83BC4" w:rsidP="00D83BC4">
      <w:pPr>
        <w:spacing w:line="360" w:lineRule="auto"/>
        <w:jc w:val="both"/>
        <w:rPr>
          <w:rFonts w:ascii="Times New Roman" w:hAnsi="Times New Roman" w:cs="Times New Roman"/>
        </w:rPr>
      </w:pPr>
    </w:p>
    <w:p w14:paraId="1B822BF9" w14:textId="7B8860EF" w:rsidR="00D83BC4" w:rsidRDefault="00AE69E8" w:rsidP="00D83BC4">
      <w:pPr>
        <w:spacing w:line="360" w:lineRule="auto"/>
        <w:jc w:val="both"/>
        <w:rPr>
          <w:rFonts w:ascii="Times New Roman" w:hAnsi="Times New Roman" w:cs="Times New Roman"/>
        </w:rPr>
      </w:pPr>
      <w:r>
        <w:rPr>
          <w:rFonts w:ascii="Times New Roman" w:hAnsi="Times New Roman" w:cs="Times New Roman"/>
        </w:rPr>
        <w:t xml:space="preserve">Por último, </w:t>
      </w:r>
      <w:r w:rsidR="00D83BC4" w:rsidRPr="00D83BC4">
        <w:rPr>
          <w:rFonts w:ascii="Times New Roman" w:hAnsi="Times New Roman" w:cs="Times New Roman"/>
        </w:rPr>
        <w:t>y</w:t>
      </w:r>
      <w:r>
        <w:rPr>
          <w:rFonts w:ascii="Times New Roman" w:hAnsi="Times New Roman" w:cs="Times New Roman"/>
        </w:rPr>
        <w:t xml:space="preserve"> dado que el 04 de mayo de 2016</w:t>
      </w:r>
      <w:r w:rsidR="00D83BC4" w:rsidRPr="00D83BC4">
        <w:rPr>
          <w:rFonts w:ascii="Times New Roman" w:hAnsi="Times New Roman" w:cs="Times New Roman"/>
        </w:rPr>
        <w:t xml:space="preserve"> se publicó en el Diario Oficial de la Federación el “Acuerdo mediante el cual el Instituto Nacional de Transparencia, Acceso a la Información y Protección de Datos Personales, aprueba el padrón de sujetos obligados del ámbito federal, en términos de la Ley General de Transparencia y Acceso a la Información Pública”, se han considerado a los Fondo Sectoriales </w:t>
      </w:r>
      <w:r w:rsidR="008922A3">
        <w:rPr>
          <w:rFonts w:ascii="Times New Roman" w:hAnsi="Times New Roman" w:cs="Times New Roman"/>
        </w:rPr>
        <w:t>CONACYT</w:t>
      </w:r>
      <w:r w:rsidR="00D83BC4" w:rsidRPr="00D83BC4">
        <w:rPr>
          <w:rFonts w:ascii="Times New Roman" w:hAnsi="Times New Roman" w:cs="Times New Roman"/>
        </w:rPr>
        <w:t xml:space="preserve"> como sujetos obligados, por lo que la información de los apoyos otorgados se dará a conocer en los términos y en cumplimiento a las disposiciones de la Ley Federal de Transparencia y Acceso a la Información Pública Gubernamental y la Ley General de Transparencia y A</w:t>
      </w:r>
      <w:r w:rsidR="007A54D9">
        <w:rPr>
          <w:rFonts w:ascii="Times New Roman" w:hAnsi="Times New Roman" w:cs="Times New Roman"/>
        </w:rPr>
        <w:t>cceso a la Información Pública.</w:t>
      </w:r>
    </w:p>
    <w:p w14:paraId="0ACCCC92" w14:textId="77777777" w:rsidR="007A54D9" w:rsidRPr="00D83BC4" w:rsidRDefault="007A54D9" w:rsidP="00D83BC4">
      <w:pPr>
        <w:spacing w:line="360" w:lineRule="auto"/>
        <w:jc w:val="both"/>
        <w:rPr>
          <w:rFonts w:ascii="Times New Roman" w:hAnsi="Times New Roman" w:cs="Times New Roman"/>
        </w:rPr>
      </w:pPr>
    </w:p>
    <w:p w14:paraId="6BDDBA88" w14:textId="77777777" w:rsidR="00D83BC4" w:rsidRPr="00AE69E8" w:rsidRDefault="00D83BC4" w:rsidP="00D83BC4">
      <w:pPr>
        <w:spacing w:line="360" w:lineRule="auto"/>
        <w:jc w:val="both"/>
        <w:rPr>
          <w:rFonts w:ascii="Times New Roman" w:hAnsi="Times New Roman" w:cs="Times New Roman"/>
          <w:color w:val="4472C4" w:themeColor="accent1"/>
        </w:rPr>
      </w:pPr>
      <w:r w:rsidRPr="00AE69E8">
        <w:rPr>
          <w:rFonts w:ascii="Times New Roman" w:hAnsi="Times New Roman" w:cs="Times New Roman"/>
        </w:rPr>
        <w:lastRenderedPageBreak/>
        <w:t xml:space="preserve">La información se podrá consultar en el Portal de Obligaciones de Transparencia </w:t>
      </w:r>
      <w:hyperlink r:id="rId40" w:history="1">
        <w:r w:rsidRPr="00AE69E8">
          <w:rPr>
            <w:rFonts w:ascii="Times New Roman" w:hAnsi="Times New Roman" w:cs="Times New Roman"/>
            <w:color w:val="4472C4" w:themeColor="accent1"/>
            <w:u w:val="single"/>
          </w:rPr>
          <w:t>http://portaltransparencia.gob.mx/pot/directorio/begin.do?method=begin&amp;_idDependencia=11112</w:t>
        </w:r>
      </w:hyperlink>
    </w:p>
    <w:p w14:paraId="3449F3C2" w14:textId="77777777" w:rsidR="00D83BC4" w:rsidRPr="00D83BC4" w:rsidRDefault="00D83BC4" w:rsidP="00D83BC4">
      <w:pPr>
        <w:spacing w:line="360" w:lineRule="auto"/>
        <w:jc w:val="both"/>
        <w:rPr>
          <w:rFonts w:ascii="Times New Roman" w:hAnsi="Times New Roman" w:cs="Times New Roman"/>
        </w:rPr>
      </w:pPr>
    </w:p>
    <w:bookmarkEnd w:id="73"/>
    <w:p w14:paraId="26B2B203" w14:textId="77777777" w:rsidR="00D83BC4" w:rsidRPr="00D83BC4" w:rsidRDefault="00D83BC4" w:rsidP="00D83BC4">
      <w:pPr>
        <w:spacing w:line="360" w:lineRule="auto"/>
        <w:jc w:val="both"/>
        <w:rPr>
          <w:rFonts w:ascii="Times New Roman" w:hAnsi="Times New Roman" w:cs="Times New Roman"/>
        </w:rPr>
      </w:pPr>
    </w:p>
    <w:p w14:paraId="3063E7F2" w14:textId="77777777" w:rsidR="00D83BC4" w:rsidRPr="00D83BC4" w:rsidRDefault="00D83BC4" w:rsidP="00D83BC4">
      <w:pPr>
        <w:spacing w:line="360" w:lineRule="auto"/>
        <w:jc w:val="both"/>
        <w:rPr>
          <w:rFonts w:ascii="Times New Roman" w:hAnsi="Times New Roman" w:cs="Times New Roman"/>
        </w:rPr>
      </w:pPr>
    </w:p>
    <w:p w14:paraId="03C5F400" w14:textId="77777777" w:rsidR="00D83BC4" w:rsidRPr="00D83BC4" w:rsidRDefault="00D83BC4" w:rsidP="00D83BC4">
      <w:pPr>
        <w:spacing w:line="360" w:lineRule="auto"/>
        <w:jc w:val="both"/>
        <w:rPr>
          <w:rFonts w:ascii="Times New Roman" w:hAnsi="Times New Roman" w:cs="Times New Roman"/>
        </w:rPr>
      </w:pPr>
    </w:p>
    <w:p w14:paraId="411DB1DA" w14:textId="56EEAE74" w:rsidR="00D83BC4" w:rsidRDefault="00D83BC4" w:rsidP="00436D83">
      <w:pPr>
        <w:rPr>
          <w:rFonts w:ascii="Arial" w:hAnsi="Arial" w:cs="Arial"/>
          <w:lang w:val="es-MX"/>
        </w:rPr>
      </w:pPr>
    </w:p>
    <w:p w14:paraId="1DA77EDF" w14:textId="3DBAE59D" w:rsidR="008922A3" w:rsidRDefault="008922A3" w:rsidP="00436D83">
      <w:pPr>
        <w:rPr>
          <w:rFonts w:ascii="Arial" w:hAnsi="Arial" w:cs="Arial"/>
          <w:lang w:val="es-MX"/>
        </w:rPr>
      </w:pPr>
    </w:p>
    <w:p w14:paraId="46077F24" w14:textId="28A57061" w:rsidR="008922A3" w:rsidRDefault="008922A3" w:rsidP="00436D83">
      <w:pPr>
        <w:rPr>
          <w:rFonts w:ascii="Arial" w:hAnsi="Arial" w:cs="Arial"/>
          <w:lang w:val="es-MX"/>
        </w:rPr>
      </w:pPr>
    </w:p>
    <w:p w14:paraId="6DD50D15" w14:textId="2163C249" w:rsidR="008922A3" w:rsidRDefault="008922A3" w:rsidP="00436D83">
      <w:pPr>
        <w:rPr>
          <w:rFonts w:ascii="Arial" w:hAnsi="Arial" w:cs="Arial"/>
          <w:lang w:val="es-MX"/>
        </w:rPr>
      </w:pPr>
    </w:p>
    <w:p w14:paraId="0B21347A" w14:textId="13E6EA84" w:rsidR="008922A3" w:rsidRDefault="008922A3" w:rsidP="00436D83">
      <w:pPr>
        <w:rPr>
          <w:rFonts w:ascii="Arial" w:hAnsi="Arial" w:cs="Arial"/>
          <w:lang w:val="es-MX"/>
        </w:rPr>
      </w:pPr>
    </w:p>
    <w:p w14:paraId="1CBF744A" w14:textId="77DD0668" w:rsidR="008922A3" w:rsidRDefault="008922A3" w:rsidP="00436D83">
      <w:pPr>
        <w:rPr>
          <w:rFonts w:ascii="Arial" w:hAnsi="Arial" w:cs="Arial"/>
          <w:lang w:val="es-MX"/>
        </w:rPr>
      </w:pPr>
    </w:p>
    <w:p w14:paraId="754BC794" w14:textId="77346615" w:rsidR="008922A3" w:rsidRDefault="008922A3" w:rsidP="00436D83">
      <w:pPr>
        <w:rPr>
          <w:rFonts w:ascii="Arial" w:hAnsi="Arial" w:cs="Arial"/>
          <w:lang w:val="es-MX"/>
        </w:rPr>
      </w:pPr>
    </w:p>
    <w:p w14:paraId="303D346F" w14:textId="37114318" w:rsidR="008922A3" w:rsidRDefault="008922A3" w:rsidP="00436D83">
      <w:pPr>
        <w:rPr>
          <w:rFonts w:ascii="Arial" w:hAnsi="Arial" w:cs="Arial"/>
          <w:lang w:val="es-MX"/>
        </w:rPr>
      </w:pPr>
    </w:p>
    <w:p w14:paraId="2C47AF1C" w14:textId="55159246" w:rsidR="008922A3" w:rsidRDefault="008922A3" w:rsidP="00436D83">
      <w:pPr>
        <w:rPr>
          <w:rFonts w:ascii="Arial" w:hAnsi="Arial" w:cs="Arial"/>
          <w:lang w:val="es-MX"/>
        </w:rPr>
      </w:pPr>
    </w:p>
    <w:p w14:paraId="37995DBF" w14:textId="11AE4BD2" w:rsidR="008922A3" w:rsidRDefault="008922A3" w:rsidP="00436D83">
      <w:pPr>
        <w:rPr>
          <w:rFonts w:ascii="Arial" w:hAnsi="Arial" w:cs="Arial"/>
          <w:lang w:val="es-MX"/>
        </w:rPr>
      </w:pPr>
    </w:p>
    <w:p w14:paraId="669F6C30" w14:textId="0D06506C" w:rsidR="008922A3" w:rsidRDefault="008922A3" w:rsidP="00436D83">
      <w:pPr>
        <w:rPr>
          <w:rFonts w:ascii="Arial" w:hAnsi="Arial" w:cs="Arial"/>
          <w:lang w:val="es-MX"/>
        </w:rPr>
      </w:pPr>
    </w:p>
    <w:p w14:paraId="4647F0B0" w14:textId="50E96548" w:rsidR="008922A3" w:rsidRDefault="008922A3" w:rsidP="00436D83">
      <w:pPr>
        <w:rPr>
          <w:rFonts w:ascii="Arial" w:hAnsi="Arial" w:cs="Arial"/>
          <w:lang w:val="es-MX"/>
        </w:rPr>
      </w:pPr>
    </w:p>
    <w:p w14:paraId="24DF50BA" w14:textId="2628B3AF" w:rsidR="008922A3" w:rsidRDefault="008922A3" w:rsidP="00436D83">
      <w:pPr>
        <w:rPr>
          <w:rFonts w:ascii="Arial" w:hAnsi="Arial" w:cs="Arial"/>
          <w:lang w:val="es-MX"/>
        </w:rPr>
      </w:pPr>
    </w:p>
    <w:p w14:paraId="0281F853" w14:textId="4F204106" w:rsidR="008922A3" w:rsidRDefault="008922A3" w:rsidP="00436D83">
      <w:pPr>
        <w:rPr>
          <w:rFonts w:ascii="Arial" w:hAnsi="Arial" w:cs="Arial"/>
          <w:lang w:val="es-MX"/>
        </w:rPr>
      </w:pPr>
    </w:p>
    <w:p w14:paraId="236B57DA" w14:textId="68161A6A" w:rsidR="008922A3" w:rsidRDefault="008922A3" w:rsidP="00436D83">
      <w:pPr>
        <w:rPr>
          <w:rFonts w:ascii="Arial" w:hAnsi="Arial" w:cs="Arial"/>
          <w:lang w:val="es-MX"/>
        </w:rPr>
      </w:pPr>
    </w:p>
    <w:p w14:paraId="330034A4" w14:textId="29F05324" w:rsidR="008922A3" w:rsidRDefault="008922A3" w:rsidP="00436D83">
      <w:pPr>
        <w:rPr>
          <w:rFonts w:ascii="Arial" w:hAnsi="Arial" w:cs="Arial"/>
          <w:lang w:val="es-MX"/>
        </w:rPr>
      </w:pPr>
    </w:p>
    <w:p w14:paraId="03B26493" w14:textId="6DC8FC5E" w:rsidR="008922A3" w:rsidRDefault="008922A3" w:rsidP="00436D83">
      <w:pPr>
        <w:rPr>
          <w:rFonts w:ascii="Arial" w:hAnsi="Arial" w:cs="Arial"/>
          <w:lang w:val="es-MX"/>
        </w:rPr>
      </w:pPr>
    </w:p>
    <w:p w14:paraId="52869F5A" w14:textId="119C2D9E" w:rsidR="008922A3" w:rsidRDefault="008922A3" w:rsidP="00436D83">
      <w:pPr>
        <w:rPr>
          <w:rFonts w:ascii="Arial" w:hAnsi="Arial" w:cs="Arial"/>
          <w:lang w:val="es-MX"/>
        </w:rPr>
      </w:pPr>
    </w:p>
    <w:p w14:paraId="2F8ECBC9" w14:textId="142C9924" w:rsidR="008922A3" w:rsidRDefault="008922A3" w:rsidP="00436D83">
      <w:pPr>
        <w:rPr>
          <w:rFonts w:ascii="Arial" w:hAnsi="Arial" w:cs="Arial"/>
          <w:lang w:val="es-MX"/>
        </w:rPr>
      </w:pPr>
    </w:p>
    <w:p w14:paraId="0DFBB99F" w14:textId="0D0CBD71" w:rsidR="008922A3" w:rsidRDefault="008922A3" w:rsidP="00436D83">
      <w:pPr>
        <w:rPr>
          <w:rFonts w:ascii="Arial" w:hAnsi="Arial" w:cs="Arial"/>
          <w:lang w:val="es-MX"/>
        </w:rPr>
      </w:pPr>
    </w:p>
    <w:p w14:paraId="3CCC3FC3" w14:textId="02B70006" w:rsidR="008922A3" w:rsidRDefault="008922A3" w:rsidP="00436D83">
      <w:pPr>
        <w:rPr>
          <w:rFonts w:ascii="Arial" w:hAnsi="Arial" w:cs="Arial"/>
          <w:lang w:val="es-MX"/>
        </w:rPr>
      </w:pPr>
    </w:p>
    <w:p w14:paraId="41889409" w14:textId="2FA3FD68" w:rsidR="008922A3" w:rsidRDefault="008922A3" w:rsidP="00436D83">
      <w:pPr>
        <w:rPr>
          <w:rFonts w:ascii="Arial" w:hAnsi="Arial" w:cs="Arial"/>
          <w:lang w:val="es-MX"/>
        </w:rPr>
      </w:pPr>
    </w:p>
    <w:p w14:paraId="413D4AFC" w14:textId="677274F8" w:rsidR="008922A3" w:rsidRDefault="008922A3" w:rsidP="00436D83">
      <w:pPr>
        <w:rPr>
          <w:rFonts w:ascii="Arial" w:hAnsi="Arial" w:cs="Arial"/>
          <w:lang w:val="es-MX"/>
        </w:rPr>
      </w:pPr>
    </w:p>
    <w:p w14:paraId="2CFE3C9D" w14:textId="306829CE" w:rsidR="008922A3" w:rsidRDefault="008922A3" w:rsidP="00436D83">
      <w:pPr>
        <w:rPr>
          <w:rFonts w:ascii="Arial" w:hAnsi="Arial" w:cs="Arial"/>
          <w:lang w:val="es-MX"/>
        </w:rPr>
      </w:pPr>
    </w:p>
    <w:p w14:paraId="2718845A" w14:textId="729A333B" w:rsidR="008922A3" w:rsidRDefault="008922A3" w:rsidP="00436D83">
      <w:pPr>
        <w:rPr>
          <w:rFonts w:ascii="Arial" w:hAnsi="Arial" w:cs="Arial"/>
          <w:lang w:val="es-MX"/>
        </w:rPr>
      </w:pPr>
    </w:p>
    <w:p w14:paraId="20AC43AA" w14:textId="0BAC9386" w:rsidR="008922A3" w:rsidRDefault="008922A3" w:rsidP="00436D83">
      <w:pPr>
        <w:rPr>
          <w:rFonts w:ascii="Arial" w:hAnsi="Arial" w:cs="Arial"/>
          <w:lang w:val="es-MX"/>
        </w:rPr>
      </w:pPr>
    </w:p>
    <w:p w14:paraId="76A42915" w14:textId="64F668BD" w:rsidR="008922A3" w:rsidRDefault="008922A3" w:rsidP="00436D83">
      <w:pPr>
        <w:rPr>
          <w:rFonts w:ascii="Arial" w:hAnsi="Arial" w:cs="Arial"/>
          <w:lang w:val="es-MX"/>
        </w:rPr>
      </w:pPr>
    </w:p>
    <w:p w14:paraId="5C1D1804" w14:textId="59D96520" w:rsidR="0053360A" w:rsidRDefault="0053360A" w:rsidP="00436D83">
      <w:pPr>
        <w:rPr>
          <w:rFonts w:ascii="Arial" w:hAnsi="Arial" w:cs="Arial"/>
          <w:lang w:val="es-MX"/>
        </w:rPr>
      </w:pPr>
    </w:p>
    <w:p w14:paraId="04095BDD" w14:textId="7615DB96" w:rsidR="008A47EB" w:rsidRDefault="008A47EB" w:rsidP="00436D83">
      <w:pPr>
        <w:rPr>
          <w:rFonts w:ascii="Arial" w:hAnsi="Arial" w:cs="Arial"/>
          <w:lang w:val="es-MX"/>
        </w:rPr>
      </w:pPr>
    </w:p>
    <w:p w14:paraId="3F96136F" w14:textId="77777777" w:rsidR="008A47EB" w:rsidRDefault="008A47EB" w:rsidP="00436D83">
      <w:pPr>
        <w:rPr>
          <w:rFonts w:ascii="Arial" w:hAnsi="Arial" w:cs="Arial"/>
          <w:lang w:val="es-MX"/>
        </w:rPr>
      </w:pPr>
    </w:p>
    <w:p w14:paraId="22F3158D" w14:textId="628E8236" w:rsidR="0053360A" w:rsidRDefault="0053360A" w:rsidP="00436D83">
      <w:pPr>
        <w:rPr>
          <w:rFonts w:ascii="Arial" w:hAnsi="Arial" w:cs="Arial"/>
          <w:lang w:val="es-MX"/>
        </w:rPr>
      </w:pPr>
    </w:p>
    <w:p w14:paraId="1026301B" w14:textId="77777777" w:rsidR="0053360A" w:rsidRDefault="0053360A" w:rsidP="00436D83">
      <w:pPr>
        <w:rPr>
          <w:rFonts w:ascii="Arial" w:hAnsi="Arial" w:cs="Arial"/>
          <w:lang w:val="es-MX"/>
        </w:rPr>
      </w:pPr>
    </w:p>
    <w:p w14:paraId="1936E56A" w14:textId="74A5DD90" w:rsidR="00D83BC4" w:rsidRPr="008922A3" w:rsidRDefault="00531D2C" w:rsidP="00D83BC4">
      <w:pPr>
        <w:jc w:val="center"/>
        <w:rPr>
          <w:rFonts w:ascii="Times New Roman" w:hAnsi="Times New Roman" w:cs="Times New Roman"/>
          <w:b/>
        </w:rPr>
      </w:pPr>
      <w:r w:rsidRPr="008922A3">
        <w:rPr>
          <w:rFonts w:ascii="Times New Roman" w:hAnsi="Times New Roman" w:cs="Times New Roman"/>
          <w:b/>
        </w:rPr>
        <w:lastRenderedPageBreak/>
        <w:t>ANEXO 1</w:t>
      </w:r>
    </w:p>
    <w:p w14:paraId="6A0BC09D" w14:textId="77777777" w:rsidR="00D83BC4" w:rsidRPr="00D83BC4" w:rsidRDefault="00D83BC4" w:rsidP="00D83BC4">
      <w:pPr>
        <w:jc w:val="center"/>
        <w:rPr>
          <w:rFonts w:ascii="Arial" w:hAnsi="Arial" w:cs="Arial"/>
          <w:sz w:val="16"/>
          <w:szCs w:val="16"/>
          <w:lang w:val="es-MX"/>
        </w:rPr>
      </w:pPr>
    </w:p>
    <w:tbl>
      <w:tblPr>
        <w:tblStyle w:val="Tablaconcuadrcula4-nfasis3"/>
        <w:tblW w:w="5000" w:type="pct"/>
        <w:tblLook w:val="04A0" w:firstRow="1" w:lastRow="0" w:firstColumn="1" w:lastColumn="0" w:noHBand="0" w:noVBand="1"/>
      </w:tblPr>
      <w:tblGrid>
        <w:gridCol w:w="2897"/>
        <w:gridCol w:w="2508"/>
        <w:gridCol w:w="2381"/>
        <w:gridCol w:w="2176"/>
      </w:tblGrid>
      <w:tr w:rsidR="00D83BC4" w:rsidRPr="008922A3" w14:paraId="61B80541" w14:textId="77777777" w:rsidTr="008A47EB">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477" w:type="pct"/>
            <w:noWrap/>
            <w:hideMark/>
          </w:tcPr>
          <w:p w14:paraId="5FE92E36" w14:textId="77777777" w:rsidR="00D83BC4" w:rsidRPr="008922A3" w:rsidRDefault="00D83BC4" w:rsidP="00D83BC4">
            <w:pPr>
              <w:rPr>
                <w:rFonts w:ascii="Times New Roman" w:eastAsia="Times New Roman" w:hAnsi="Times New Roman" w:cs="Times New Roman"/>
                <w:b w:val="0"/>
                <w:bCs w:val="0"/>
                <w:lang w:val="es-MX" w:eastAsia="es-MX"/>
              </w:rPr>
            </w:pPr>
            <w:r w:rsidRPr="008922A3">
              <w:rPr>
                <w:rFonts w:ascii="Times New Roman" w:eastAsia="Times New Roman" w:hAnsi="Times New Roman" w:cs="Times New Roman"/>
                <w:b w:val="0"/>
                <w:bCs w:val="0"/>
                <w:lang w:val="es-MX" w:eastAsia="es-MX"/>
              </w:rPr>
              <w:t xml:space="preserve">FONDOS SECTORIALES </w:t>
            </w:r>
          </w:p>
        </w:tc>
        <w:tc>
          <w:tcPr>
            <w:tcW w:w="1282" w:type="pct"/>
            <w:noWrap/>
            <w:hideMark/>
          </w:tcPr>
          <w:p w14:paraId="0F9EAC08" w14:textId="77777777" w:rsidR="00D83BC4" w:rsidRPr="008922A3" w:rsidRDefault="00D83BC4" w:rsidP="00D83B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es-MX" w:eastAsia="es-MX"/>
              </w:rPr>
            </w:pPr>
            <w:r w:rsidRPr="008922A3">
              <w:rPr>
                <w:rFonts w:ascii="Times New Roman" w:eastAsia="Times New Roman" w:hAnsi="Times New Roman" w:cs="Times New Roman"/>
                <w:b w:val="0"/>
                <w:bCs w:val="0"/>
                <w:lang w:val="es-MX" w:eastAsia="es-MX"/>
              </w:rPr>
              <w:t>SECTOR</w:t>
            </w:r>
          </w:p>
        </w:tc>
        <w:tc>
          <w:tcPr>
            <w:tcW w:w="1218" w:type="pct"/>
            <w:hideMark/>
          </w:tcPr>
          <w:p w14:paraId="553A5D49" w14:textId="77777777" w:rsidR="00D83BC4" w:rsidRPr="008922A3" w:rsidRDefault="00D83BC4" w:rsidP="00D83B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es-MX" w:eastAsia="es-MX"/>
              </w:rPr>
            </w:pPr>
            <w:r w:rsidRPr="008922A3">
              <w:rPr>
                <w:rFonts w:ascii="Times New Roman" w:eastAsia="Times New Roman" w:hAnsi="Times New Roman" w:cs="Times New Roman"/>
                <w:b w:val="0"/>
                <w:bCs w:val="0"/>
                <w:lang w:val="es-MX" w:eastAsia="es-MX"/>
              </w:rPr>
              <w:t>SECRETARÍA TÉCNICA</w:t>
            </w:r>
          </w:p>
        </w:tc>
        <w:tc>
          <w:tcPr>
            <w:tcW w:w="1023" w:type="pct"/>
            <w:noWrap/>
            <w:hideMark/>
          </w:tcPr>
          <w:p w14:paraId="3B19A411" w14:textId="77777777" w:rsidR="00D83BC4" w:rsidRPr="008922A3" w:rsidRDefault="00D83BC4" w:rsidP="00D83B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es-MX" w:eastAsia="es-MX"/>
              </w:rPr>
            </w:pPr>
            <w:r w:rsidRPr="008922A3">
              <w:rPr>
                <w:rFonts w:ascii="Times New Roman" w:eastAsia="Times New Roman" w:hAnsi="Times New Roman" w:cs="Times New Roman"/>
                <w:b w:val="0"/>
                <w:bCs w:val="0"/>
                <w:lang w:val="es-MX" w:eastAsia="es-MX"/>
              </w:rPr>
              <w:t>ADSCRIPCIÓN</w:t>
            </w:r>
          </w:p>
        </w:tc>
      </w:tr>
      <w:tr w:rsidR="00D83BC4" w:rsidRPr="008922A3" w14:paraId="3D32F891" w14:textId="77777777" w:rsidTr="008A47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pct"/>
            <w:hideMark/>
          </w:tcPr>
          <w:p w14:paraId="6BAE69B9"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CONAVI</w:t>
            </w:r>
          </w:p>
        </w:tc>
        <w:tc>
          <w:tcPr>
            <w:tcW w:w="1282" w:type="pct"/>
            <w:hideMark/>
          </w:tcPr>
          <w:p w14:paraId="1D1AD99E"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Comisión Nacional de Vivienda</w:t>
            </w:r>
          </w:p>
        </w:tc>
        <w:tc>
          <w:tcPr>
            <w:tcW w:w="1218" w:type="pct"/>
            <w:vMerge w:val="restart"/>
            <w:hideMark/>
          </w:tcPr>
          <w:p w14:paraId="2A1B3C2B" w14:textId="77777777" w:rsidR="00D83BC4" w:rsidRPr="008922A3" w:rsidRDefault="00D83BC4" w:rsidP="00D83B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Dirección Investigación Científica Aplicada</w:t>
            </w:r>
          </w:p>
        </w:tc>
        <w:tc>
          <w:tcPr>
            <w:tcW w:w="1023" w:type="pct"/>
            <w:vMerge w:val="restart"/>
            <w:hideMark/>
          </w:tcPr>
          <w:p w14:paraId="71E0192E" w14:textId="77777777" w:rsidR="00D83BC4" w:rsidRPr="008922A3" w:rsidRDefault="00D83BC4" w:rsidP="00D83B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DIRECCIÓN ADJUNTA DE DESARROLLO CIENTIFICO</w:t>
            </w:r>
          </w:p>
        </w:tc>
      </w:tr>
      <w:tr w:rsidR="00D83BC4" w:rsidRPr="008922A3" w14:paraId="2B914DB2" w14:textId="77777777" w:rsidTr="008A47EB">
        <w:trPr>
          <w:trHeight w:val="600"/>
        </w:trPr>
        <w:tc>
          <w:tcPr>
            <w:cnfStyle w:val="001000000000" w:firstRow="0" w:lastRow="0" w:firstColumn="1" w:lastColumn="0" w:oddVBand="0" w:evenVBand="0" w:oddHBand="0" w:evenHBand="0" w:firstRowFirstColumn="0" w:firstRowLastColumn="0" w:lastRowFirstColumn="0" w:lastRowLastColumn="0"/>
            <w:tcW w:w="1477" w:type="pct"/>
            <w:hideMark/>
          </w:tcPr>
          <w:p w14:paraId="67769A15"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INIFED</w:t>
            </w:r>
          </w:p>
        </w:tc>
        <w:tc>
          <w:tcPr>
            <w:tcW w:w="1282" w:type="pct"/>
            <w:hideMark/>
          </w:tcPr>
          <w:p w14:paraId="4C01F570"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Instituto Nacional de Infraestructura</w:t>
            </w:r>
          </w:p>
        </w:tc>
        <w:tc>
          <w:tcPr>
            <w:tcW w:w="1218" w:type="pct"/>
            <w:vMerge/>
            <w:hideMark/>
          </w:tcPr>
          <w:p w14:paraId="0231B36A"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hideMark/>
          </w:tcPr>
          <w:p w14:paraId="47BCA84C"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59FEA1A1" w14:textId="77777777" w:rsidTr="008A47E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77" w:type="pct"/>
            <w:hideMark/>
          </w:tcPr>
          <w:p w14:paraId="005E673B"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INMUJERES</w:t>
            </w:r>
          </w:p>
        </w:tc>
        <w:tc>
          <w:tcPr>
            <w:tcW w:w="1282" w:type="pct"/>
            <w:hideMark/>
          </w:tcPr>
          <w:p w14:paraId="40AAF370"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Instituto Nacional de las Mujeres</w:t>
            </w:r>
          </w:p>
        </w:tc>
        <w:tc>
          <w:tcPr>
            <w:tcW w:w="1218" w:type="pct"/>
            <w:vMerge/>
            <w:hideMark/>
          </w:tcPr>
          <w:p w14:paraId="7949E195"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hideMark/>
          </w:tcPr>
          <w:p w14:paraId="22600DD0"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39A3825D" w14:textId="77777777" w:rsidTr="008A47EB">
        <w:trPr>
          <w:trHeight w:val="300"/>
        </w:trPr>
        <w:tc>
          <w:tcPr>
            <w:cnfStyle w:val="001000000000" w:firstRow="0" w:lastRow="0" w:firstColumn="1" w:lastColumn="0" w:oddVBand="0" w:evenVBand="0" w:oddHBand="0" w:evenHBand="0" w:firstRowFirstColumn="0" w:firstRowLastColumn="0" w:lastRowFirstColumn="0" w:lastRowLastColumn="0"/>
            <w:tcW w:w="1477" w:type="pct"/>
            <w:hideMark/>
          </w:tcPr>
          <w:p w14:paraId="188B78C1"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SEDESOL</w:t>
            </w:r>
          </w:p>
        </w:tc>
        <w:tc>
          <w:tcPr>
            <w:tcW w:w="1282" w:type="pct"/>
            <w:hideMark/>
          </w:tcPr>
          <w:p w14:paraId="39A440BB"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Secretaria de Desarrollo Social</w:t>
            </w:r>
          </w:p>
        </w:tc>
        <w:tc>
          <w:tcPr>
            <w:tcW w:w="1218" w:type="pct"/>
            <w:vMerge/>
            <w:hideMark/>
          </w:tcPr>
          <w:p w14:paraId="6D541DBF"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hideMark/>
          </w:tcPr>
          <w:p w14:paraId="4F062418"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3E63E8A2" w14:textId="77777777" w:rsidTr="008A47E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77" w:type="pct"/>
            <w:hideMark/>
          </w:tcPr>
          <w:p w14:paraId="50CCF4DD"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SEMARNAT</w:t>
            </w:r>
          </w:p>
        </w:tc>
        <w:tc>
          <w:tcPr>
            <w:tcW w:w="1282" w:type="pct"/>
            <w:hideMark/>
          </w:tcPr>
          <w:p w14:paraId="61DA9C46"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Secretaria de Medio Ambiente y Recursos Naturales</w:t>
            </w:r>
          </w:p>
        </w:tc>
        <w:tc>
          <w:tcPr>
            <w:tcW w:w="1218" w:type="pct"/>
            <w:vMerge/>
            <w:hideMark/>
          </w:tcPr>
          <w:p w14:paraId="1AAA090A"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hideMark/>
          </w:tcPr>
          <w:p w14:paraId="082995C9"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441BC04B" w14:textId="77777777" w:rsidTr="008A47EB">
        <w:trPr>
          <w:trHeight w:val="300"/>
        </w:trPr>
        <w:tc>
          <w:tcPr>
            <w:cnfStyle w:val="001000000000" w:firstRow="0" w:lastRow="0" w:firstColumn="1" w:lastColumn="0" w:oddVBand="0" w:evenVBand="0" w:oddHBand="0" w:evenHBand="0" w:firstRowFirstColumn="0" w:firstRowLastColumn="0" w:lastRowFirstColumn="0" w:lastRowLastColumn="0"/>
            <w:tcW w:w="1477" w:type="pct"/>
            <w:hideMark/>
          </w:tcPr>
          <w:p w14:paraId="19E05390"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SS / IMSS / ISSSTE</w:t>
            </w:r>
          </w:p>
        </w:tc>
        <w:tc>
          <w:tcPr>
            <w:tcW w:w="1282" w:type="pct"/>
            <w:hideMark/>
          </w:tcPr>
          <w:p w14:paraId="4DF28471"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Secretaria de Salud</w:t>
            </w:r>
          </w:p>
        </w:tc>
        <w:tc>
          <w:tcPr>
            <w:tcW w:w="1218" w:type="pct"/>
            <w:vMerge/>
            <w:hideMark/>
          </w:tcPr>
          <w:p w14:paraId="6BCFC7AD"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hideMark/>
          </w:tcPr>
          <w:p w14:paraId="1D2C35E1"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7B293CBC" w14:textId="77777777" w:rsidTr="008A47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pct"/>
            <w:hideMark/>
          </w:tcPr>
          <w:p w14:paraId="77ACE8FD"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xml:space="preserve">AGENCIA ESPACIAL MEXICANA </w:t>
            </w:r>
          </w:p>
        </w:tc>
        <w:tc>
          <w:tcPr>
            <w:tcW w:w="1282" w:type="pct"/>
            <w:hideMark/>
          </w:tcPr>
          <w:p w14:paraId="3F7339C1"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Agencia Espacial Mexicana</w:t>
            </w:r>
          </w:p>
        </w:tc>
        <w:tc>
          <w:tcPr>
            <w:tcW w:w="1218" w:type="pct"/>
            <w:vMerge/>
            <w:hideMark/>
          </w:tcPr>
          <w:p w14:paraId="427B8717"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hideMark/>
          </w:tcPr>
          <w:p w14:paraId="17FA5F5D"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6BCFE734" w14:textId="77777777" w:rsidTr="008A47EB">
        <w:trPr>
          <w:trHeight w:val="315"/>
        </w:trPr>
        <w:tc>
          <w:tcPr>
            <w:cnfStyle w:val="001000000000" w:firstRow="0" w:lastRow="0" w:firstColumn="1" w:lastColumn="0" w:oddVBand="0" w:evenVBand="0" w:oddHBand="0" w:evenHBand="0" w:firstRowFirstColumn="0" w:firstRowLastColumn="0" w:lastRowFirstColumn="0" w:lastRowLastColumn="0"/>
            <w:tcW w:w="1477" w:type="pct"/>
            <w:hideMark/>
          </w:tcPr>
          <w:p w14:paraId="780C0336"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CONAGUA</w:t>
            </w:r>
          </w:p>
        </w:tc>
        <w:tc>
          <w:tcPr>
            <w:tcW w:w="1282" w:type="pct"/>
            <w:hideMark/>
          </w:tcPr>
          <w:p w14:paraId="7FE425D3"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Comisión Nacional del Agua</w:t>
            </w:r>
          </w:p>
        </w:tc>
        <w:tc>
          <w:tcPr>
            <w:tcW w:w="1218" w:type="pct"/>
            <w:vMerge/>
            <w:hideMark/>
          </w:tcPr>
          <w:p w14:paraId="6E8C0F8D"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hideMark/>
          </w:tcPr>
          <w:p w14:paraId="0E3D96D3"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42A71626" w14:textId="77777777" w:rsidTr="008A47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7" w:type="pct"/>
            <w:hideMark/>
          </w:tcPr>
          <w:p w14:paraId="21E5ABD4"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SEP</w:t>
            </w:r>
          </w:p>
        </w:tc>
        <w:tc>
          <w:tcPr>
            <w:tcW w:w="1282" w:type="pct"/>
            <w:hideMark/>
          </w:tcPr>
          <w:p w14:paraId="02FDBA43"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Secretaria de Educación Publica</w:t>
            </w:r>
          </w:p>
        </w:tc>
        <w:tc>
          <w:tcPr>
            <w:tcW w:w="1218" w:type="pct"/>
            <w:hideMark/>
          </w:tcPr>
          <w:p w14:paraId="5ADF5270" w14:textId="77777777" w:rsidR="00D83BC4" w:rsidRPr="008922A3" w:rsidRDefault="00D83BC4" w:rsidP="00D83B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Dirección Científica Básica</w:t>
            </w:r>
          </w:p>
        </w:tc>
        <w:tc>
          <w:tcPr>
            <w:tcW w:w="1023" w:type="pct"/>
            <w:vMerge/>
            <w:hideMark/>
          </w:tcPr>
          <w:p w14:paraId="446A7213"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2F2A1923" w14:textId="77777777" w:rsidTr="008A47EB">
        <w:trPr>
          <w:trHeight w:val="900"/>
        </w:trPr>
        <w:tc>
          <w:tcPr>
            <w:cnfStyle w:val="001000000000" w:firstRow="0" w:lastRow="0" w:firstColumn="1" w:lastColumn="0" w:oddVBand="0" w:evenVBand="0" w:oddHBand="0" w:evenHBand="0" w:firstRowFirstColumn="0" w:firstRowLastColumn="0" w:lastRowFirstColumn="0" w:lastRowLastColumn="0"/>
            <w:tcW w:w="1477" w:type="pct"/>
            <w:hideMark/>
          </w:tcPr>
          <w:p w14:paraId="1F098214" w14:textId="7E8888A2"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xml:space="preserve"> SEGOB </w:t>
            </w:r>
            <w:r w:rsidR="008922A3" w:rsidRPr="008922A3">
              <w:rPr>
                <w:rFonts w:ascii="Times New Roman" w:eastAsia="Times New Roman" w:hAnsi="Times New Roman" w:cs="Times New Roman"/>
                <w:lang w:val="es-MX" w:eastAsia="es-MX"/>
              </w:rPr>
              <w:t>–</w:t>
            </w:r>
            <w:r w:rsidRPr="008922A3">
              <w:rPr>
                <w:rFonts w:ascii="Times New Roman" w:eastAsia="Times New Roman" w:hAnsi="Times New Roman" w:cs="Times New Roman"/>
                <w:lang w:val="es-MX" w:eastAsia="es-MX"/>
              </w:rPr>
              <w:t xml:space="preserve"> CNS</w:t>
            </w:r>
          </w:p>
        </w:tc>
        <w:tc>
          <w:tcPr>
            <w:tcW w:w="1282" w:type="pct"/>
            <w:hideMark/>
          </w:tcPr>
          <w:p w14:paraId="4ACFFDAD"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Secretaria de Gobernación</w:t>
            </w:r>
          </w:p>
        </w:tc>
        <w:tc>
          <w:tcPr>
            <w:tcW w:w="1218" w:type="pct"/>
            <w:vMerge w:val="restart"/>
            <w:hideMark/>
          </w:tcPr>
          <w:p w14:paraId="2843A978" w14:textId="77777777" w:rsidR="00D83BC4" w:rsidRPr="008922A3" w:rsidRDefault="00D83BC4" w:rsidP="00D83B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Dirección de Comercialización de Tecnología</w:t>
            </w:r>
          </w:p>
        </w:tc>
        <w:tc>
          <w:tcPr>
            <w:tcW w:w="1023" w:type="pct"/>
            <w:vMerge w:val="restart"/>
            <w:hideMark/>
          </w:tcPr>
          <w:p w14:paraId="46C92F58" w14:textId="77777777" w:rsidR="00D83BC4" w:rsidRPr="008922A3" w:rsidRDefault="00D83BC4" w:rsidP="00D83B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DIRECCIÓN ADJUNTA DE TECNOLOGICO E INNOVACIÓN</w:t>
            </w:r>
          </w:p>
        </w:tc>
      </w:tr>
      <w:tr w:rsidR="00D83BC4" w:rsidRPr="008922A3" w14:paraId="3C9FD660" w14:textId="77777777" w:rsidTr="008A47E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77" w:type="pct"/>
            <w:hideMark/>
          </w:tcPr>
          <w:p w14:paraId="7D132934"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FIT</w:t>
            </w:r>
          </w:p>
        </w:tc>
        <w:tc>
          <w:tcPr>
            <w:tcW w:w="1282" w:type="pct"/>
            <w:hideMark/>
          </w:tcPr>
          <w:p w14:paraId="6320B9C2"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Secretaria de Economía</w:t>
            </w:r>
          </w:p>
        </w:tc>
        <w:tc>
          <w:tcPr>
            <w:tcW w:w="1218" w:type="pct"/>
            <w:vMerge/>
            <w:hideMark/>
          </w:tcPr>
          <w:p w14:paraId="798329B4"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hideMark/>
          </w:tcPr>
          <w:p w14:paraId="37E3E39D"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52221540" w14:textId="77777777" w:rsidTr="008A47EB">
        <w:trPr>
          <w:trHeight w:val="600"/>
        </w:trPr>
        <w:tc>
          <w:tcPr>
            <w:cnfStyle w:val="001000000000" w:firstRow="0" w:lastRow="0" w:firstColumn="1" w:lastColumn="0" w:oddVBand="0" w:evenVBand="0" w:oddHBand="0" w:evenHBand="0" w:firstRowFirstColumn="0" w:firstRowLastColumn="0" w:lastRowFirstColumn="0" w:lastRowLastColumn="0"/>
            <w:tcW w:w="1477" w:type="pct"/>
            <w:hideMark/>
          </w:tcPr>
          <w:p w14:paraId="5AF000A2"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xml:space="preserve"> SENER - Hidrocarburos </w:t>
            </w:r>
          </w:p>
        </w:tc>
        <w:tc>
          <w:tcPr>
            <w:tcW w:w="1282" w:type="pct"/>
            <w:hideMark/>
          </w:tcPr>
          <w:p w14:paraId="445525F0"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Secretaria de Energía</w:t>
            </w:r>
          </w:p>
        </w:tc>
        <w:tc>
          <w:tcPr>
            <w:tcW w:w="1218" w:type="pct"/>
            <w:vMerge w:val="restart"/>
            <w:hideMark/>
          </w:tcPr>
          <w:p w14:paraId="119D2EEC" w14:textId="77777777" w:rsidR="00D83BC4" w:rsidRPr="008922A3" w:rsidRDefault="00D83BC4" w:rsidP="00D83B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Dirección de Desarrollo Tecnológico</w:t>
            </w:r>
          </w:p>
        </w:tc>
        <w:tc>
          <w:tcPr>
            <w:tcW w:w="1023" w:type="pct"/>
            <w:vMerge/>
            <w:hideMark/>
          </w:tcPr>
          <w:p w14:paraId="561DD931"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32D2BDBD" w14:textId="77777777" w:rsidTr="008A47E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77" w:type="pct"/>
            <w:hideMark/>
          </w:tcPr>
          <w:p w14:paraId="00961A09"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CFE</w:t>
            </w:r>
          </w:p>
        </w:tc>
        <w:tc>
          <w:tcPr>
            <w:tcW w:w="1282" w:type="pct"/>
            <w:hideMark/>
          </w:tcPr>
          <w:p w14:paraId="19718052"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Comisión Federal de Electricidad</w:t>
            </w:r>
          </w:p>
        </w:tc>
        <w:tc>
          <w:tcPr>
            <w:tcW w:w="1218" w:type="pct"/>
            <w:vMerge/>
            <w:hideMark/>
          </w:tcPr>
          <w:p w14:paraId="32549458"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hideMark/>
          </w:tcPr>
          <w:p w14:paraId="71CBCF0B"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3944F710" w14:textId="77777777" w:rsidTr="008A47EB">
        <w:trPr>
          <w:trHeight w:val="600"/>
        </w:trPr>
        <w:tc>
          <w:tcPr>
            <w:cnfStyle w:val="001000000000" w:firstRow="0" w:lastRow="0" w:firstColumn="1" w:lastColumn="0" w:oddVBand="0" w:evenVBand="0" w:oddHBand="0" w:evenHBand="0" w:firstRowFirstColumn="0" w:firstRowLastColumn="0" w:lastRowFirstColumn="0" w:lastRowLastColumn="0"/>
            <w:tcW w:w="1477" w:type="pct"/>
            <w:hideMark/>
          </w:tcPr>
          <w:p w14:paraId="59C5CAB5"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xml:space="preserve">SENER -Sustentabilidad Energética </w:t>
            </w:r>
          </w:p>
        </w:tc>
        <w:tc>
          <w:tcPr>
            <w:tcW w:w="1282" w:type="pct"/>
            <w:hideMark/>
          </w:tcPr>
          <w:p w14:paraId="13FE73CC"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Secretaria de Energía</w:t>
            </w:r>
          </w:p>
        </w:tc>
        <w:tc>
          <w:tcPr>
            <w:tcW w:w="1218" w:type="pct"/>
            <w:vMerge/>
            <w:hideMark/>
          </w:tcPr>
          <w:p w14:paraId="23AD1E1F"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hideMark/>
          </w:tcPr>
          <w:p w14:paraId="436949E7"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1B588FB8" w14:textId="77777777" w:rsidTr="008A47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pct"/>
            <w:hideMark/>
          </w:tcPr>
          <w:p w14:paraId="25C6F9FB"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FINNOVA</w:t>
            </w:r>
          </w:p>
        </w:tc>
        <w:tc>
          <w:tcPr>
            <w:tcW w:w="1282" w:type="pct"/>
            <w:hideMark/>
          </w:tcPr>
          <w:p w14:paraId="5D70CB81"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Secretaria de Economía</w:t>
            </w:r>
          </w:p>
        </w:tc>
        <w:tc>
          <w:tcPr>
            <w:tcW w:w="1218" w:type="pct"/>
            <w:hideMark/>
          </w:tcPr>
          <w:p w14:paraId="4B3BEBFB" w14:textId="77777777" w:rsidR="00D83BC4" w:rsidRPr="008922A3" w:rsidRDefault="00D83BC4" w:rsidP="00D83B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Dirección de Innovación</w:t>
            </w:r>
          </w:p>
        </w:tc>
        <w:tc>
          <w:tcPr>
            <w:tcW w:w="1023" w:type="pct"/>
            <w:vMerge/>
            <w:hideMark/>
          </w:tcPr>
          <w:p w14:paraId="54D8C709"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73CCBB67" w14:textId="77777777" w:rsidTr="008A47EB">
        <w:trPr>
          <w:trHeight w:val="600"/>
        </w:trPr>
        <w:tc>
          <w:tcPr>
            <w:cnfStyle w:val="001000000000" w:firstRow="0" w:lastRow="0" w:firstColumn="1" w:lastColumn="0" w:oddVBand="0" w:evenVBand="0" w:oddHBand="0" w:evenHBand="0" w:firstRowFirstColumn="0" w:firstRowLastColumn="0" w:lastRowFirstColumn="0" w:lastRowLastColumn="0"/>
            <w:tcW w:w="1477" w:type="pct"/>
            <w:hideMark/>
          </w:tcPr>
          <w:p w14:paraId="2F8E4B74"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ASA</w:t>
            </w:r>
          </w:p>
        </w:tc>
        <w:tc>
          <w:tcPr>
            <w:tcW w:w="1282" w:type="pct"/>
            <w:hideMark/>
          </w:tcPr>
          <w:p w14:paraId="00F1712B"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Aeropuerto y Servicios Auxiliares</w:t>
            </w:r>
          </w:p>
        </w:tc>
        <w:tc>
          <w:tcPr>
            <w:tcW w:w="1218" w:type="pct"/>
            <w:vMerge w:val="restart"/>
            <w:hideMark/>
          </w:tcPr>
          <w:p w14:paraId="498F31CC" w14:textId="77777777" w:rsidR="00D83BC4" w:rsidRPr="008922A3" w:rsidRDefault="00D83BC4" w:rsidP="00D83B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Dirección de Planeación Tecnológica</w:t>
            </w:r>
          </w:p>
        </w:tc>
        <w:tc>
          <w:tcPr>
            <w:tcW w:w="1023" w:type="pct"/>
            <w:vMerge/>
            <w:hideMark/>
          </w:tcPr>
          <w:p w14:paraId="15763B46"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3CD099A7" w14:textId="77777777" w:rsidTr="008A47E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77" w:type="pct"/>
            <w:hideMark/>
          </w:tcPr>
          <w:p w14:paraId="103E497E"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CONAFOR</w:t>
            </w:r>
          </w:p>
        </w:tc>
        <w:tc>
          <w:tcPr>
            <w:tcW w:w="1282" w:type="pct"/>
            <w:hideMark/>
          </w:tcPr>
          <w:p w14:paraId="40962FFB"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Comisión Nacional Forestal</w:t>
            </w:r>
          </w:p>
        </w:tc>
        <w:tc>
          <w:tcPr>
            <w:tcW w:w="1218" w:type="pct"/>
            <w:vMerge/>
            <w:hideMark/>
          </w:tcPr>
          <w:p w14:paraId="5CBB756A"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hideMark/>
          </w:tcPr>
          <w:p w14:paraId="1E945D6B"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2C1677EB" w14:textId="77777777" w:rsidTr="008A47EB">
        <w:trPr>
          <w:trHeight w:val="900"/>
        </w:trPr>
        <w:tc>
          <w:tcPr>
            <w:cnfStyle w:val="001000000000" w:firstRow="0" w:lastRow="0" w:firstColumn="1" w:lastColumn="0" w:oddVBand="0" w:evenVBand="0" w:oddHBand="0" w:evenHBand="0" w:firstRowFirstColumn="0" w:firstRowLastColumn="0" w:lastRowFirstColumn="0" w:lastRowLastColumn="0"/>
            <w:tcW w:w="1477" w:type="pct"/>
            <w:hideMark/>
          </w:tcPr>
          <w:p w14:paraId="29A375F5"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lastRenderedPageBreak/>
              <w:t> SAGARPA</w:t>
            </w:r>
          </w:p>
        </w:tc>
        <w:tc>
          <w:tcPr>
            <w:tcW w:w="1282" w:type="pct"/>
            <w:hideMark/>
          </w:tcPr>
          <w:p w14:paraId="7EF10D1E"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xml:space="preserve">Secretaría de Agricultura, Ganadería, Desarrollo Rural, Pesca y Alimentación  </w:t>
            </w:r>
          </w:p>
        </w:tc>
        <w:tc>
          <w:tcPr>
            <w:tcW w:w="1218" w:type="pct"/>
            <w:vMerge/>
            <w:hideMark/>
          </w:tcPr>
          <w:p w14:paraId="0091454B"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hideMark/>
          </w:tcPr>
          <w:p w14:paraId="601BF86E"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676C9181" w14:textId="77777777" w:rsidTr="008A47E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77" w:type="pct"/>
            <w:hideMark/>
          </w:tcPr>
          <w:p w14:paraId="75033D26"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SECTUR</w:t>
            </w:r>
          </w:p>
        </w:tc>
        <w:tc>
          <w:tcPr>
            <w:tcW w:w="1282" w:type="pct"/>
            <w:hideMark/>
          </w:tcPr>
          <w:p w14:paraId="184DBF49"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Secretaria de Turismo</w:t>
            </w:r>
          </w:p>
        </w:tc>
        <w:tc>
          <w:tcPr>
            <w:tcW w:w="1218" w:type="pct"/>
            <w:vMerge/>
            <w:hideMark/>
          </w:tcPr>
          <w:p w14:paraId="79B01D52"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hideMark/>
          </w:tcPr>
          <w:p w14:paraId="7461CFC4"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64E993C7" w14:textId="77777777" w:rsidTr="008A47EB">
        <w:trPr>
          <w:trHeight w:val="600"/>
        </w:trPr>
        <w:tc>
          <w:tcPr>
            <w:cnfStyle w:val="001000000000" w:firstRow="0" w:lastRow="0" w:firstColumn="1" w:lastColumn="0" w:oddVBand="0" w:evenVBand="0" w:oddHBand="0" w:evenHBand="0" w:firstRowFirstColumn="0" w:firstRowLastColumn="0" w:lastRowFirstColumn="0" w:lastRowLastColumn="0"/>
            <w:tcW w:w="1477" w:type="pct"/>
            <w:hideMark/>
          </w:tcPr>
          <w:p w14:paraId="4B16F314"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SEMAR</w:t>
            </w:r>
          </w:p>
        </w:tc>
        <w:tc>
          <w:tcPr>
            <w:tcW w:w="1282" w:type="pct"/>
            <w:hideMark/>
          </w:tcPr>
          <w:p w14:paraId="4A7831B6"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Secretaria de Marina</w:t>
            </w:r>
          </w:p>
        </w:tc>
        <w:tc>
          <w:tcPr>
            <w:tcW w:w="1218" w:type="pct"/>
            <w:vMerge/>
            <w:hideMark/>
          </w:tcPr>
          <w:p w14:paraId="0017FF18"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hideMark/>
          </w:tcPr>
          <w:p w14:paraId="33A1E561"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0EF736F2" w14:textId="77777777" w:rsidTr="008A47EB">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477" w:type="pct"/>
            <w:hideMark/>
          </w:tcPr>
          <w:p w14:paraId="6FD72317"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SEDENA</w:t>
            </w:r>
          </w:p>
        </w:tc>
        <w:tc>
          <w:tcPr>
            <w:tcW w:w="1282" w:type="pct"/>
            <w:hideMark/>
          </w:tcPr>
          <w:p w14:paraId="2B6A157B"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Secretaria de la Defensa Nacional</w:t>
            </w:r>
          </w:p>
        </w:tc>
        <w:tc>
          <w:tcPr>
            <w:tcW w:w="1218" w:type="pct"/>
            <w:vMerge/>
            <w:hideMark/>
          </w:tcPr>
          <w:p w14:paraId="1FC6C75C"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hideMark/>
          </w:tcPr>
          <w:p w14:paraId="27DAC653"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5C65AA76" w14:textId="77777777" w:rsidTr="008A47EB">
        <w:trPr>
          <w:trHeight w:val="915"/>
        </w:trPr>
        <w:tc>
          <w:tcPr>
            <w:cnfStyle w:val="001000000000" w:firstRow="0" w:lastRow="0" w:firstColumn="1" w:lastColumn="0" w:oddVBand="0" w:evenVBand="0" w:oddHBand="0" w:evenHBand="0" w:firstRowFirstColumn="0" w:firstRowLastColumn="0" w:lastRowFirstColumn="0" w:lastRowLastColumn="0"/>
            <w:tcW w:w="1477" w:type="pct"/>
            <w:hideMark/>
          </w:tcPr>
          <w:p w14:paraId="3D039EC2"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S.R.E.</w:t>
            </w:r>
          </w:p>
        </w:tc>
        <w:tc>
          <w:tcPr>
            <w:tcW w:w="1282" w:type="pct"/>
            <w:hideMark/>
          </w:tcPr>
          <w:p w14:paraId="4EEE3ED5" w14:textId="77777777" w:rsidR="00D83BC4" w:rsidRPr="008922A3" w:rsidRDefault="00D83BC4"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Secretaria de Relaciones Exteriores</w:t>
            </w:r>
          </w:p>
        </w:tc>
        <w:tc>
          <w:tcPr>
            <w:tcW w:w="1218" w:type="pct"/>
            <w:hideMark/>
          </w:tcPr>
          <w:p w14:paraId="24ED60B9" w14:textId="4F21A171" w:rsidR="00D83BC4" w:rsidRPr="008922A3" w:rsidRDefault="00D83BC4" w:rsidP="00D83B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Subdirector de Estadística, Promoción y Vinculación.</w:t>
            </w:r>
          </w:p>
        </w:tc>
        <w:tc>
          <w:tcPr>
            <w:tcW w:w="1023" w:type="pct"/>
            <w:hideMark/>
          </w:tcPr>
          <w:p w14:paraId="41A46FE6" w14:textId="77777777" w:rsidR="00D83BC4" w:rsidRPr="008922A3" w:rsidRDefault="00D83BC4" w:rsidP="00D83B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DIRECCIÓN DE COOPERACION INTERNACIONAL</w:t>
            </w:r>
          </w:p>
        </w:tc>
      </w:tr>
      <w:tr w:rsidR="00D83BC4" w:rsidRPr="008922A3" w14:paraId="56335DCD" w14:textId="77777777" w:rsidTr="008A47E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77" w:type="pct"/>
            <w:hideMark/>
          </w:tcPr>
          <w:p w14:paraId="43495DE3"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xml:space="preserve">INEGI </w:t>
            </w:r>
          </w:p>
        </w:tc>
        <w:tc>
          <w:tcPr>
            <w:tcW w:w="1282" w:type="pct"/>
            <w:hideMark/>
          </w:tcPr>
          <w:p w14:paraId="70A3B251"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Instituto Nacional de Estadística y Geografía</w:t>
            </w:r>
          </w:p>
        </w:tc>
        <w:tc>
          <w:tcPr>
            <w:tcW w:w="1218" w:type="pct"/>
            <w:vMerge w:val="restart"/>
            <w:hideMark/>
          </w:tcPr>
          <w:p w14:paraId="52FCB9FF" w14:textId="77777777" w:rsidR="00D83BC4" w:rsidRPr="008922A3" w:rsidRDefault="00D83BC4" w:rsidP="00D83B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Subdirección de SINECYT</w:t>
            </w:r>
          </w:p>
        </w:tc>
        <w:tc>
          <w:tcPr>
            <w:tcW w:w="1023" w:type="pct"/>
            <w:vMerge w:val="restart"/>
            <w:hideMark/>
          </w:tcPr>
          <w:p w14:paraId="44784D1E" w14:textId="77777777" w:rsidR="00D83BC4" w:rsidRPr="008922A3" w:rsidRDefault="00D83BC4" w:rsidP="00D83B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xml:space="preserve">DIRECCIÓN ADJUNTA DE PLANEACIÓN </w:t>
            </w:r>
          </w:p>
        </w:tc>
      </w:tr>
      <w:tr w:rsidR="005762AF" w:rsidRPr="008922A3" w14:paraId="70C95CE2" w14:textId="77777777" w:rsidTr="008A47EB">
        <w:trPr>
          <w:trHeight w:val="600"/>
        </w:trPr>
        <w:tc>
          <w:tcPr>
            <w:cnfStyle w:val="001000000000" w:firstRow="0" w:lastRow="0" w:firstColumn="1" w:lastColumn="0" w:oddVBand="0" w:evenVBand="0" w:oddHBand="0" w:evenHBand="0" w:firstRowFirstColumn="0" w:firstRowLastColumn="0" w:lastRowFirstColumn="0" w:lastRowLastColumn="0"/>
            <w:tcW w:w="1477" w:type="pct"/>
          </w:tcPr>
          <w:p w14:paraId="7BBFBDDA" w14:textId="722744DD" w:rsidR="005762AF" w:rsidRPr="008922A3" w:rsidRDefault="005762AF"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Consejo Nacional de Evaluacion de la Política de Desarrollo Social</w:t>
            </w:r>
          </w:p>
        </w:tc>
        <w:tc>
          <w:tcPr>
            <w:tcW w:w="1282" w:type="pct"/>
          </w:tcPr>
          <w:p w14:paraId="05E360B1" w14:textId="48825F71" w:rsidR="005762AF" w:rsidRPr="008922A3" w:rsidRDefault="005762AF" w:rsidP="00D83B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xml:space="preserve">CONEVAL </w:t>
            </w:r>
          </w:p>
        </w:tc>
        <w:tc>
          <w:tcPr>
            <w:tcW w:w="1218" w:type="pct"/>
            <w:vMerge/>
          </w:tcPr>
          <w:p w14:paraId="7F010997" w14:textId="77777777" w:rsidR="005762AF" w:rsidRPr="008922A3" w:rsidRDefault="005762AF" w:rsidP="00D83B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tcPr>
          <w:p w14:paraId="65D9D4E6" w14:textId="77777777" w:rsidR="005762AF" w:rsidRPr="008922A3" w:rsidRDefault="005762AF" w:rsidP="00D83B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MX" w:eastAsia="es-MX"/>
              </w:rPr>
            </w:pPr>
          </w:p>
        </w:tc>
      </w:tr>
      <w:tr w:rsidR="00D83BC4" w:rsidRPr="008922A3" w14:paraId="6EAE60DB" w14:textId="77777777" w:rsidTr="008A47EB">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477" w:type="pct"/>
            <w:hideMark/>
          </w:tcPr>
          <w:p w14:paraId="0BA25C84" w14:textId="77777777" w:rsidR="00D83BC4" w:rsidRPr="008922A3" w:rsidRDefault="00D83BC4" w:rsidP="00D83BC4">
            <w:pPr>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INEE</w:t>
            </w:r>
          </w:p>
        </w:tc>
        <w:tc>
          <w:tcPr>
            <w:tcW w:w="1282" w:type="pct"/>
            <w:hideMark/>
          </w:tcPr>
          <w:p w14:paraId="6EC3DBAA" w14:textId="583B4045"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8922A3">
              <w:rPr>
                <w:rFonts w:ascii="Times New Roman" w:eastAsia="Times New Roman" w:hAnsi="Times New Roman" w:cs="Times New Roman"/>
                <w:lang w:val="es-MX" w:eastAsia="es-MX"/>
              </w:rPr>
              <w:t xml:space="preserve">Instituto Nacional Para la Evaluación de la Educación </w:t>
            </w:r>
          </w:p>
        </w:tc>
        <w:tc>
          <w:tcPr>
            <w:tcW w:w="1218" w:type="pct"/>
            <w:vMerge/>
            <w:hideMark/>
          </w:tcPr>
          <w:p w14:paraId="6ACEECEF"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c>
          <w:tcPr>
            <w:tcW w:w="1023" w:type="pct"/>
            <w:vMerge/>
            <w:hideMark/>
          </w:tcPr>
          <w:p w14:paraId="1F64877C" w14:textId="77777777" w:rsidR="00D83BC4" w:rsidRPr="008922A3" w:rsidRDefault="00D83BC4" w:rsidP="00D83B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tc>
      </w:tr>
    </w:tbl>
    <w:p w14:paraId="32C6B655" w14:textId="77777777" w:rsidR="00D83BC4" w:rsidRPr="00D83BC4" w:rsidRDefault="00D83BC4" w:rsidP="00D83BC4">
      <w:pPr>
        <w:jc w:val="right"/>
        <w:rPr>
          <w:rFonts w:ascii="Arial" w:hAnsi="Arial" w:cs="Arial"/>
          <w:lang w:val="es-MX"/>
        </w:rPr>
      </w:pPr>
    </w:p>
    <w:p w14:paraId="0C4DAFA0" w14:textId="77777777" w:rsidR="00D83BC4" w:rsidRPr="00D83BC4" w:rsidRDefault="00D83BC4" w:rsidP="00D83BC4">
      <w:pPr>
        <w:rPr>
          <w:rFonts w:ascii="Arial" w:hAnsi="Arial" w:cs="Arial"/>
          <w:lang w:val="es-MX"/>
        </w:rPr>
      </w:pPr>
    </w:p>
    <w:p w14:paraId="1B575150" w14:textId="77777777" w:rsidR="00D83BC4" w:rsidRPr="00D83BC4" w:rsidRDefault="00D83BC4" w:rsidP="00D83BC4">
      <w:pPr>
        <w:rPr>
          <w:rFonts w:ascii="Arial" w:hAnsi="Arial" w:cs="Arial"/>
          <w:lang w:val="es-MX"/>
        </w:rPr>
      </w:pPr>
    </w:p>
    <w:p w14:paraId="7FD728C6" w14:textId="77777777" w:rsidR="00D83BC4" w:rsidRPr="00D83BC4" w:rsidRDefault="00D83BC4" w:rsidP="00D83BC4">
      <w:pPr>
        <w:rPr>
          <w:rFonts w:ascii="Arial" w:hAnsi="Arial" w:cs="Arial"/>
          <w:lang w:val="es-MX"/>
        </w:rPr>
      </w:pPr>
    </w:p>
    <w:p w14:paraId="7C443567" w14:textId="77777777" w:rsidR="00D83BC4" w:rsidRPr="00D83BC4" w:rsidRDefault="00D83BC4" w:rsidP="00D83BC4">
      <w:pPr>
        <w:rPr>
          <w:rFonts w:ascii="Arial" w:hAnsi="Arial" w:cs="Arial"/>
          <w:lang w:val="es-MX"/>
        </w:rPr>
      </w:pPr>
    </w:p>
    <w:p w14:paraId="5FC1ABD3" w14:textId="77777777" w:rsidR="00D83BC4" w:rsidRPr="00D83BC4" w:rsidRDefault="00D83BC4" w:rsidP="00D83BC4">
      <w:pPr>
        <w:rPr>
          <w:rFonts w:ascii="Arial" w:hAnsi="Arial" w:cs="Arial"/>
          <w:lang w:val="es-MX"/>
        </w:rPr>
      </w:pPr>
    </w:p>
    <w:p w14:paraId="23E99DCA" w14:textId="77777777" w:rsidR="00D83BC4" w:rsidRPr="00D83BC4" w:rsidRDefault="00D83BC4" w:rsidP="00D83BC4">
      <w:pPr>
        <w:rPr>
          <w:rFonts w:ascii="Arial" w:hAnsi="Arial" w:cs="Arial"/>
          <w:lang w:val="es-MX"/>
        </w:rPr>
      </w:pPr>
    </w:p>
    <w:p w14:paraId="54570395" w14:textId="77777777" w:rsidR="00D83BC4" w:rsidRPr="00D83BC4" w:rsidRDefault="00D83BC4" w:rsidP="00D83BC4">
      <w:pPr>
        <w:rPr>
          <w:rFonts w:ascii="Arial" w:hAnsi="Arial" w:cs="Arial"/>
          <w:lang w:val="es-MX"/>
        </w:rPr>
      </w:pPr>
    </w:p>
    <w:p w14:paraId="2931439F" w14:textId="77777777" w:rsidR="00D83BC4" w:rsidRPr="00D83BC4" w:rsidRDefault="00D83BC4" w:rsidP="00D83BC4">
      <w:pPr>
        <w:rPr>
          <w:rFonts w:ascii="Arial" w:hAnsi="Arial" w:cs="Arial"/>
          <w:lang w:val="es-MX"/>
        </w:rPr>
      </w:pPr>
    </w:p>
    <w:p w14:paraId="61FBF217" w14:textId="77777777" w:rsidR="00D83BC4" w:rsidRPr="00D83BC4" w:rsidRDefault="00D83BC4" w:rsidP="00D83BC4">
      <w:pPr>
        <w:rPr>
          <w:rFonts w:ascii="Arial" w:hAnsi="Arial" w:cs="Arial"/>
          <w:lang w:val="es-MX"/>
        </w:rPr>
      </w:pPr>
    </w:p>
    <w:p w14:paraId="68D3DAB8" w14:textId="77777777" w:rsidR="00D83BC4" w:rsidRPr="007C2077" w:rsidRDefault="00D83BC4" w:rsidP="007C2077">
      <w:pPr>
        <w:spacing w:line="360" w:lineRule="auto"/>
        <w:rPr>
          <w:rFonts w:ascii="Times New Roman" w:eastAsia="Times New Roman" w:hAnsi="Times New Roman" w:cs="Times New Roman"/>
        </w:rPr>
      </w:pPr>
    </w:p>
    <w:p w14:paraId="4C2340FF" w14:textId="77777777" w:rsidR="007C2077" w:rsidRPr="007C2077" w:rsidRDefault="007C2077" w:rsidP="007C2077">
      <w:pPr>
        <w:rPr>
          <w:rFonts w:ascii="Arial" w:hAnsi="Arial"/>
        </w:rPr>
      </w:pPr>
    </w:p>
    <w:p w14:paraId="7F8165AD" w14:textId="77777777" w:rsidR="007C2077" w:rsidRPr="007C2077" w:rsidRDefault="007C2077" w:rsidP="007C2077">
      <w:pPr>
        <w:rPr>
          <w:rFonts w:ascii="Arial" w:hAnsi="Arial"/>
        </w:rPr>
      </w:pPr>
    </w:p>
    <w:p w14:paraId="2612D509" w14:textId="1BE22BA4" w:rsidR="007C2077" w:rsidRPr="00D555C3" w:rsidRDefault="007C2077" w:rsidP="00D555C3">
      <w:pPr>
        <w:jc w:val="both"/>
        <w:rPr>
          <w:rFonts w:ascii="Arial" w:hAnsi="Arial"/>
          <w:sz w:val="22"/>
          <w:szCs w:val="22"/>
        </w:rPr>
      </w:pPr>
    </w:p>
    <w:sectPr w:rsidR="007C2077" w:rsidRPr="00D555C3" w:rsidSect="0005403A">
      <w:headerReference w:type="default" r:id="rId41"/>
      <w:pgSz w:w="12240" w:h="15840"/>
      <w:pgMar w:top="2552"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16DD8" w14:textId="77777777" w:rsidR="00E1391C" w:rsidRDefault="00E1391C" w:rsidP="005C6F62">
      <w:r>
        <w:separator/>
      </w:r>
    </w:p>
  </w:endnote>
  <w:endnote w:type="continuationSeparator" w:id="0">
    <w:p w14:paraId="339432EA" w14:textId="77777777" w:rsidR="00E1391C" w:rsidRDefault="00E1391C" w:rsidP="005C6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Times New Roman"/>
    <w:charset w:val="00"/>
    <w:family w:val="swiss"/>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7BBAA" w14:textId="77777777" w:rsidR="00E1391C" w:rsidRDefault="00E1391C" w:rsidP="005C6F62">
      <w:r>
        <w:separator/>
      </w:r>
    </w:p>
  </w:footnote>
  <w:footnote w:type="continuationSeparator" w:id="0">
    <w:p w14:paraId="7B1139B6" w14:textId="77777777" w:rsidR="00E1391C" w:rsidRDefault="00E1391C" w:rsidP="005C6F62">
      <w:r>
        <w:continuationSeparator/>
      </w:r>
    </w:p>
  </w:footnote>
  <w:footnote w:id="1">
    <w:p w14:paraId="2F197FE6" w14:textId="77777777" w:rsidR="007A1A58" w:rsidRPr="0024507B" w:rsidRDefault="007A1A58" w:rsidP="00DB1A6A">
      <w:pPr>
        <w:pStyle w:val="Textonotapie"/>
        <w:jc w:val="both"/>
        <w:rPr>
          <w:rFonts w:ascii="Times New Roman" w:hAnsi="Times New Roman" w:cs="Times New Roman"/>
          <w:lang w:val="es-MX"/>
        </w:rPr>
      </w:pPr>
      <w:r>
        <w:rPr>
          <w:rStyle w:val="Refdenotaalpie"/>
        </w:rPr>
        <w:footnoteRef/>
      </w:r>
      <w:r>
        <w:t xml:space="preserve"> </w:t>
      </w:r>
      <w:r w:rsidRPr="0024507B">
        <w:rPr>
          <w:rFonts w:ascii="Times New Roman" w:hAnsi="Times New Roman" w:cs="Times New Roman"/>
        </w:rPr>
        <w:t>Innovación: “La introducción de un nuevo, o significativamente mejorado producto (bien o servicio), de un proceso, de un nuevo método de comercialización o de un nuevo método organizativo, en las prácticas internas de la empresa, la organización del lugar de trabajo o las relaciones exteriores”. (OCDE, 2005: 56-64),</w:t>
      </w:r>
    </w:p>
  </w:footnote>
  <w:footnote w:id="2">
    <w:p w14:paraId="26B70851" w14:textId="77777777" w:rsidR="007A1A58" w:rsidRPr="0024507B" w:rsidRDefault="007A1A58" w:rsidP="007C2077">
      <w:pPr>
        <w:pStyle w:val="Textonotapie"/>
        <w:jc w:val="both"/>
        <w:rPr>
          <w:rFonts w:ascii="Times New Roman" w:hAnsi="Times New Roman" w:cs="Times New Roman"/>
          <w:sz w:val="18"/>
          <w:szCs w:val="18"/>
        </w:rPr>
      </w:pPr>
      <w:r w:rsidRPr="002C4481">
        <w:rPr>
          <w:rStyle w:val="Refdenotaalpie"/>
          <w:rFonts w:ascii="Arial" w:hAnsi="Arial" w:cs="Arial"/>
          <w:sz w:val="18"/>
          <w:szCs w:val="18"/>
        </w:rPr>
        <w:footnoteRef/>
      </w:r>
      <w:r w:rsidRPr="002C4481">
        <w:rPr>
          <w:rFonts w:ascii="Arial" w:hAnsi="Arial" w:cs="Arial"/>
          <w:sz w:val="18"/>
          <w:szCs w:val="18"/>
        </w:rPr>
        <w:t xml:space="preserve"> </w:t>
      </w:r>
      <w:r w:rsidRPr="0024507B">
        <w:rPr>
          <w:rFonts w:ascii="Times New Roman" w:hAnsi="Times New Roman" w:cs="Times New Roman"/>
          <w:sz w:val="18"/>
          <w:szCs w:val="18"/>
        </w:rPr>
        <w:t xml:space="preserve">El proceso de creación de FONDEF se relaciona con la creación de un nuevo marco jurídico, estatutos y capacidades nuevas. Además, se pusieron en práctica métodos rigurosos de evaluación científico – tecnológico y económico – sociales; se determinaron áreas prioritarias; se configuraron formas efectivas de articulación entre universidades y empresas y se dio curso a medios de financiamiento para proyectos de mayor envergadura y alto impacto. El triple aporte de FONDEF – </w:t>
      </w:r>
      <w:r w:rsidRPr="0024507B">
        <w:rPr>
          <w:rFonts w:ascii="Times New Roman" w:hAnsi="Times New Roman" w:cs="Times New Roman"/>
          <w:b/>
          <w:sz w:val="18"/>
          <w:szCs w:val="18"/>
        </w:rPr>
        <w:t>convocatoria, articulación y financiamiento</w:t>
      </w:r>
      <w:r w:rsidRPr="0024507B">
        <w:rPr>
          <w:rFonts w:ascii="Times New Roman" w:hAnsi="Times New Roman" w:cs="Times New Roman"/>
          <w:sz w:val="18"/>
          <w:szCs w:val="18"/>
        </w:rPr>
        <w:t xml:space="preserve"> -, está contribuyendo efectivamente al desarrollo del país. En efecto, la vinculación institución – empresa se está construyendo en forma sólida y consistente. </w:t>
      </w:r>
      <w:r w:rsidRPr="0024507B">
        <w:rPr>
          <w:rFonts w:ascii="Times New Roman" w:hAnsi="Times New Roman" w:cs="Times New Roman"/>
          <w:noProof/>
          <w:sz w:val="18"/>
          <w:szCs w:val="18"/>
          <w:lang w:val="es-MX"/>
        </w:rPr>
        <w:t>(CONICYT, 2016).</w:t>
      </w:r>
    </w:p>
  </w:footnote>
  <w:footnote w:id="3">
    <w:p w14:paraId="56C6DB4C" w14:textId="77777777" w:rsidR="007A1A58" w:rsidRPr="00690FD4" w:rsidRDefault="007A1A58" w:rsidP="007C2077">
      <w:pPr>
        <w:pStyle w:val="Textonotapie"/>
        <w:rPr>
          <w:rFonts w:ascii="Times New Roman" w:hAnsi="Times New Roman" w:cs="Times New Roman"/>
          <w:lang w:val="es-MX"/>
        </w:rPr>
      </w:pPr>
      <w:r w:rsidRPr="002C4481">
        <w:rPr>
          <w:rStyle w:val="Refdenotaalpie"/>
          <w:rFonts w:ascii="Arial" w:hAnsi="Arial" w:cs="Arial"/>
        </w:rPr>
        <w:footnoteRef/>
      </w:r>
      <w:r w:rsidRPr="002C4481">
        <w:rPr>
          <w:rFonts w:ascii="Arial" w:hAnsi="Arial" w:cs="Arial"/>
        </w:rPr>
        <w:t xml:space="preserve"> </w:t>
      </w:r>
      <w:r w:rsidRPr="00690FD4">
        <w:rPr>
          <w:rFonts w:ascii="Times New Roman" w:hAnsi="Times New Roman" w:cs="Times New Roman"/>
        </w:rPr>
        <w:t xml:space="preserve">Banco Mundial. 19 de mayo de 2016. </w:t>
      </w:r>
      <w:r w:rsidRPr="00690FD4">
        <w:rPr>
          <w:rFonts w:ascii="Times New Roman" w:hAnsi="Times New Roman" w:cs="Times New Roman"/>
          <w:lang w:val="es-MX"/>
        </w:rPr>
        <w:t>Recuperado de: http://datos.bancomundial.org/pais/mexico</w:t>
      </w:r>
    </w:p>
  </w:footnote>
  <w:footnote w:id="4">
    <w:p w14:paraId="25D7E494" w14:textId="77777777" w:rsidR="007A1A58" w:rsidRPr="00690FD4" w:rsidRDefault="007A1A58" w:rsidP="002E2BCF">
      <w:pPr>
        <w:pStyle w:val="Textonotapie"/>
        <w:ind w:right="-518"/>
        <w:jc w:val="both"/>
        <w:rPr>
          <w:rFonts w:ascii="Times New Roman" w:hAnsi="Times New Roman" w:cs="Times New Roman"/>
        </w:rPr>
      </w:pPr>
      <w:r w:rsidRPr="00ED73DD">
        <w:rPr>
          <w:rStyle w:val="Refdenotaalpie"/>
          <w:rFonts w:ascii="Times New Roman" w:hAnsi="Times New Roman" w:cs="Times New Roman"/>
          <w:color w:val="000000"/>
        </w:rPr>
        <w:footnoteRef/>
      </w:r>
      <w:r w:rsidRPr="00ED73DD">
        <w:rPr>
          <w:rFonts w:ascii="Times New Roman" w:hAnsi="Times New Roman" w:cs="Times New Roman"/>
          <w:color w:val="000000"/>
        </w:rPr>
        <w:t xml:space="preserve"> </w:t>
      </w:r>
      <w:r w:rsidRPr="00690FD4">
        <w:rPr>
          <w:rFonts w:ascii="Times New Roman" w:hAnsi="Times New Roman" w:cs="Times New Roman"/>
        </w:rPr>
        <w:t>Informe del Grupo de Trabajo Abierto de la Asamblea General sobre los Objetivos de Desarrollo Sostenible.19 de mayo de 2016. Recuperado de: http://www.un.org/es/comun/docs/?symbol=A/68/970</w:t>
      </w:r>
    </w:p>
  </w:footnote>
  <w:footnote w:id="5">
    <w:p w14:paraId="3900ACE4" w14:textId="77777777" w:rsidR="007A1A58" w:rsidRPr="002C4481" w:rsidRDefault="007A1A58" w:rsidP="00D83BC4">
      <w:pPr>
        <w:pStyle w:val="Textonotapie1"/>
        <w:jc w:val="both"/>
        <w:rPr>
          <w:rFonts w:ascii="Arial" w:hAnsi="Arial" w:cs="Arial"/>
        </w:rPr>
      </w:pPr>
      <w:r w:rsidRPr="002C4481">
        <w:rPr>
          <w:rStyle w:val="Refdenotaalpie"/>
          <w:rFonts w:ascii="Arial" w:hAnsi="Arial" w:cs="Arial"/>
        </w:rPr>
        <w:footnoteRef/>
      </w:r>
      <w:r w:rsidRPr="002C4481">
        <w:rPr>
          <w:rFonts w:ascii="Arial" w:hAnsi="Arial" w:cs="Arial"/>
          <w:lang w:val="en-US"/>
        </w:rPr>
        <w:t xml:space="preserve"> </w:t>
      </w:r>
      <w:r w:rsidRPr="000909A0">
        <w:rPr>
          <w:rFonts w:ascii="Times New Roman" w:hAnsi="Times New Roman" w:cs="Times New Roman"/>
          <w:lang w:val="en-US"/>
        </w:rPr>
        <w:t xml:space="preserve">LOWI, Theodore. </w:t>
      </w:r>
      <w:r w:rsidRPr="000909A0">
        <w:rPr>
          <w:rStyle w:val="nfasis"/>
          <w:rFonts w:ascii="Times New Roman" w:hAnsi="Times New Roman" w:cs="Times New Roman"/>
          <w:lang w:val="en-US"/>
        </w:rPr>
        <w:t>American Business, Public Policy, Case-Studies, and Political Theory</w:t>
      </w:r>
      <w:r w:rsidRPr="000909A0">
        <w:rPr>
          <w:rFonts w:ascii="Times New Roman" w:hAnsi="Times New Roman" w:cs="Times New Roman"/>
          <w:lang w:val="en-US"/>
        </w:rPr>
        <w:t xml:space="preserve">. </w:t>
      </w:r>
      <w:proofErr w:type="spellStart"/>
      <w:r w:rsidRPr="000909A0">
        <w:rPr>
          <w:rStyle w:val="nfasis"/>
          <w:rFonts w:ascii="Times New Roman" w:hAnsi="Times New Roman" w:cs="Times New Roman"/>
        </w:rPr>
        <w:t>World</w:t>
      </w:r>
      <w:proofErr w:type="spellEnd"/>
      <w:r w:rsidRPr="000909A0">
        <w:rPr>
          <w:rStyle w:val="nfasis"/>
          <w:rFonts w:ascii="Times New Roman" w:hAnsi="Times New Roman" w:cs="Times New Roman"/>
        </w:rPr>
        <w:t xml:space="preserve"> </w:t>
      </w:r>
      <w:proofErr w:type="spellStart"/>
      <w:r w:rsidRPr="000909A0">
        <w:rPr>
          <w:rStyle w:val="nfasis"/>
          <w:rFonts w:ascii="Times New Roman" w:hAnsi="Times New Roman" w:cs="Times New Roman"/>
        </w:rPr>
        <w:t>Politics</w:t>
      </w:r>
      <w:proofErr w:type="spellEnd"/>
      <w:r w:rsidRPr="000909A0">
        <w:rPr>
          <w:rFonts w:ascii="Times New Roman" w:hAnsi="Times New Roman" w:cs="Times New Roman"/>
        </w:rPr>
        <w:t>. USA, 1964</w:t>
      </w:r>
    </w:p>
    <w:p w14:paraId="69F567CA" w14:textId="77777777" w:rsidR="007A1A58" w:rsidRPr="000468FC" w:rsidRDefault="007A1A58" w:rsidP="00D83BC4">
      <w:pPr>
        <w:pStyle w:val="Textonotapie1"/>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F2995" w14:textId="0E0CCFA1" w:rsidR="007A1A58" w:rsidRDefault="007A1A58">
    <w:pPr>
      <w:pStyle w:val="Encabezado"/>
    </w:pPr>
    <w:r>
      <w:rPr>
        <w:noProof/>
        <w:lang w:val="es-ES"/>
      </w:rPr>
      <w:drawing>
        <wp:anchor distT="0" distB="0" distL="114300" distR="114300" simplePos="0" relativeHeight="251658240" behindDoc="1" locked="0" layoutInCell="1" allowOverlap="1" wp14:anchorId="1C860219" wp14:editId="0317CDE8">
          <wp:simplePos x="0" y="0"/>
          <wp:positionH relativeFrom="column">
            <wp:posOffset>-706120</wp:posOffset>
          </wp:positionH>
          <wp:positionV relativeFrom="paragraph">
            <wp:posOffset>-456565</wp:posOffset>
          </wp:positionV>
          <wp:extent cx="7793226" cy="10085351"/>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arta-CL.jpg"/>
                  <pic:cNvPicPr/>
                </pic:nvPicPr>
                <pic:blipFill>
                  <a:blip r:embed="rId1">
                    <a:extLst>
                      <a:ext uri="{28A0092B-C50C-407E-A947-70E740481C1C}">
                        <a14:useLocalDpi xmlns:a14="http://schemas.microsoft.com/office/drawing/2010/main" val="0"/>
                      </a:ext>
                    </a:extLst>
                  </a:blip>
                  <a:stretch>
                    <a:fillRect/>
                  </a:stretch>
                </pic:blipFill>
                <pic:spPr>
                  <a:xfrm>
                    <a:off x="0" y="0"/>
                    <a:ext cx="7793226" cy="100853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7" type="#_x0000_t75" style="width:9.3pt;height:9.3pt" o:bullet="t">
        <v:imagedata r:id="rId1" o:title="BD14655_"/>
      </v:shape>
    </w:pict>
  </w:numPicBullet>
  <w:abstractNum w:abstractNumId="0" w15:restartNumberingAfterBreak="0">
    <w:nsid w:val="0BFD2106"/>
    <w:multiLevelType w:val="hybridMultilevel"/>
    <w:tmpl w:val="43C8B4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DBE706E"/>
    <w:multiLevelType w:val="hybridMultilevel"/>
    <w:tmpl w:val="E72ADF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1E1AD1"/>
    <w:multiLevelType w:val="hybridMultilevel"/>
    <w:tmpl w:val="397CDDF8"/>
    <w:lvl w:ilvl="0" w:tplc="1FE0548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920D1D"/>
    <w:multiLevelType w:val="hybridMultilevel"/>
    <w:tmpl w:val="8BD034F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16BE2BD8"/>
    <w:multiLevelType w:val="hybridMultilevel"/>
    <w:tmpl w:val="E65CE5DA"/>
    <w:lvl w:ilvl="0" w:tplc="9B1AA87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AE56656"/>
    <w:multiLevelType w:val="hybridMultilevel"/>
    <w:tmpl w:val="BAE8EA5E"/>
    <w:lvl w:ilvl="0" w:tplc="0ABAD9A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C372507"/>
    <w:multiLevelType w:val="hybridMultilevel"/>
    <w:tmpl w:val="81088940"/>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7" w15:restartNumberingAfterBreak="0">
    <w:nsid w:val="20C14CE5"/>
    <w:multiLevelType w:val="hybridMultilevel"/>
    <w:tmpl w:val="5C963A4A"/>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15:restartNumberingAfterBreak="0">
    <w:nsid w:val="21933ED4"/>
    <w:multiLevelType w:val="hybridMultilevel"/>
    <w:tmpl w:val="C57848EC"/>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9" w15:restartNumberingAfterBreak="0">
    <w:nsid w:val="225A0FF7"/>
    <w:multiLevelType w:val="hybridMultilevel"/>
    <w:tmpl w:val="165E73DE"/>
    <w:lvl w:ilvl="0" w:tplc="90EAE0D0">
      <w:start w:val="1"/>
      <w:numFmt w:val="upp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24797699"/>
    <w:multiLevelType w:val="hybridMultilevel"/>
    <w:tmpl w:val="ABE609E2"/>
    <w:lvl w:ilvl="0" w:tplc="FE44FA36">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E0B19C2"/>
    <w:multiLevelType w:val="hybridMultilevel"/>
    <w:tmpl w:val="312239A0"/>
    <w:lvl w:ilvl="0" w:tplc="080A0001">
      <w:start w:val="1"/>
      <w:numFmt w:val="bullet"/>
      <w:lvlText w:val=""/>
      <w:lvlJc w:val="left"/>
      <w:pPr>
        <w:ind w:left="3517" w:hanging="360"/>
      </w:pPr>
      <w:rPr>
        <w:rFonts w:ascii="Symbol" w:hAnsi="Symbol" w:hint="default"/>
      </w:rPr>
    </w:lvl>
    <w:lvl w:ilvl="1" w:tplc="080A0003">
      <w:start w:val="1"/>
      <w:numFmt w:val="bullet"/>
      <w:lvlText w:val="o"/>
      <w:lvlJc w:val="left"/>
      <w:pPr>
        <w:ind w:left="4237" w:hanging="360"/>
      </w:pPr>
      <w:rPr>
        <w:rFonts w:ascii="Courier New" w:hAnsi="Courier New" w:cs="Courier New" w:hint="default"/>
      </w:rPr>
    </w:lvl>
    <w:lvl w:ilvl="2" w:tplc="080A0005">
      <w:start w:val="1"/>
      <w:numFmt w:val="bullet"/>
      <w:lvlText w:val=""/>
      <w:lvlJc w:val="left"/>
      <w:pPr>
        <w:ind w:left="4957" w:hanging="360"/>
      </w:pPr>
      <w:rPr>
        <w:rFonts w:ascii="Wingdings" w:hAnsi="Wingdings" w:hint="default"/>
      </w:rPr>
    </w:lvl>
    <w:lvl w:ilvl="3" w:tplc="080A0001">
      <w:start w:val="1"/>
      <w:numFmt w:val="bullet"/>
      <w:lvlText w:val=""/>
      <w:lvlJc w:val="left"/>
      <w:pPr>
        <w:ind w:left="5677" w:hanging="360"/>
      </w:pPr>
      <w:rPr>
        <w:rFonts w:ascii="Symbol" w:hAnsi="Symbol" w:hint="default"/>
      </w:rPr>
    </w:lvl>
    <w:lvl w:ilvl="4" w:tplc="080A0003">
      <w:start w:val="1"/>
      <w:numFmt w:val="bullet"/>
      <w:lvlText w:val="o"/>
      <w:lvlJc w:val="left"/>
      <w:pPr>
        <w:ind w:left="6397" w:hanging="360"/>
      </w:pPr>
      <w:rPr>
        <w:rFonts w:ascii="Courier New" w:hAnsi="Courier New" w:cs="Courier New" w:hint="default"/>
      </w:rPr>
    </w:lvl>
    <w:lvl w:ilvl="5" w:tplc="080A0005">
      <w:start w:val="1"/>
      <w:numFmt w:val="bullet"/>
      <w:lvlText w:val=""/>
      <w:lvlJc w:val="left"/>
      <w:pPr>
        <w:ind w:left="7117" w:hanging="360"/>
      </w:pPr>
      <w:rPr>
        <w:rFonts w:ascii="Wingdings" w:hAnsi="Wingdings" w:hint="default"/>
      </w:rPr>
    </w:lvl>
    <w:lvl w:ilvl="6" w:tplc="080A0001">
      <w:start w:val="1"/>
      <w:numFmt w:val="bullet"/>
      <w:lvlText w:val=""/>
      <w:lvlJc w:val="left"/>
      <w:pPr>
        <w:ind w:left="7837" w:hanging="360"/>
      </w:pPr>
      <w:rPr>
        <w:rFonts w:ascii="Symbol" w:hAnsi="Symbol" w:hint="default"/>
      </w:rPr>
    </w:lvl>
    <w:lvl w:ilvl="7" w:tplc="080A0003">
      <w:start w:val="1"/>
      <w:numFmt w:val="bullet"/>
      <w:lvlText w:val="o"/>
      <w:lvlJc w:val="left"/>
      <w:pPr>
        <w:ind w:left="8557" w:hanging="360"/>
      </w:pPr>
      <w:rPr>
        <w:rFonts w:ascii="Courier New" w:hAnsi="Courier New" w:cs="Courier New" w:hint="default"/>
      </w:rPr>
    </w:lvl>
    <w:lvl w:ilvl="8" w:tplc="080A0005">
      <w:start w:val="1"/>
      <w:numFmt w:val="bullet"/>
      <w:lvlText w:val=""/>
      <w:lvlJc w:val="left"/>
      <w:pPr>
        <w:ind w:left="9277" w:hanging="360"/>
      </w:pPr>
      <w:rPr>
        <w:rFonts w:ascii="Wingdings" w:hAnsi="Wingdings" w:hint="default"/>
      </w:rPr>
    </w:lvl>
  </w:abstractNum>
  <w:abstractNum w:abstractNumId="12" w15:restartNumberingAfterBreak="0">
    <w:nsid w:val="397B7112"/>
    <w:multiLevelType w:val="hybridMultilevel"/>
    <w:tmpl w:val="3B86F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5E3A1B"/>
    <w:multiLevelType w:val="hybridMultilevel"/>
    <w:tmpl w:val="6EC4C442"/>
    <w:lvl w:ilvl="0" w:tplc="9FF632B4">
      <w:start w:val="1"/>
      <w:numFmt w:val="upperRoman"/>
      <w:lvlText w:val="%1."/>
      <w:lvlJc w:val="right"/>
      <w:pPr>
        <w:ind w:left="720" w:hanging="360"/>
      </w:pPr>
      <w:rPr>
        <w:color w:val="2F5496" w:themeColor="accent1" w:themeShade="B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152CB3"/>
    <w:multiLevelType w:val="hybridMultilevel"/>
    <w:tmpl w:val="2C88D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4952D2"/>
    <w:multiLevelType w:val="hybridMultilevel"/>
    <w:tmpl w:val="D8F0FABA"/>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6" w15:restartNumberingAfterBreak="0">
    <w:nsid w:val="46BD7908"/>
    <w:multiLevelType w:val="hybridMultilevel"/>
    <w:tmpl w:val="E0A82542"/>
    <w:lvl w:ilvl="0" w:tplc="79B8F8C2">
      <w:start w:val="1"/>
      <w:numFmt w:val="decimal"/>
      <w:lvlText w:val="%1."/>
      <w:lvlJc w:val="left"/>
      <w:pPr>
        <w:ind w:left="705" w:hanging="705"/>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7" w15:restartNumberingAfterBreak="0">
    <w:nsid w:val="4E7F165B"/>
    <w:multiLevelType w:val="multilevel"/>
    <w:tmpl w:val="8EF4C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9B5E84"/>
    <w:multiLevelType w:val="hybridMultilevel"/>
    <w:tmpl w:val="98DCCE88"/>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9" w15:restartNumberingAfterBreak="0">
    <w:nsid w:val="50BD32CA"/>
    <w:multiLevelType w:val="hybridMultilevel"/>
    <w:tmpl w:val="37C4AD5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4A7973"/>
    <w:multiLevelType w:val="hybridMultilevel"/>
    <w:tmpl w:val="E51CFE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C13143"/>
    <w:multiLevelType w:val="multilevel"/>
    <w:tmpl w:val="210A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55571F"/>
    <w:multiLevelType w:val="hybridMultilevel"/>
    <w:tmpl w:val="FDE016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DC13F8"/>
    <w:multiLevelType w:val="hybridMultilevel"/>
    <w:tmpl w:val="819E1A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EC96870"/>
    <w:multiLevelType w:val="hybridMultilevel"/>
    <w:tmpl w:val="187814BE"/>
    <w:lvl w:ilvl="0" w:tplc="13B421AC">
      <w:start w:val="1"/>
      <w:numFmt w:val="bullet"/>
      <w:lvlText w:val=""/>
      <w:lvlPicBulletId w:val="0"/>
      <w:lvlJc w:val="left"/>
      <w:pPr>
        <w:ind w:left="720" w:hanging="360"/>
      </w:pPr>
      <w:rPr>
        <w:rFonts w:ascii="Symbol" w:hAnsi="Symbol" w:hint="default"/>
        <w:color w:val="auto"/>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3491704"/>
    <w:multiLevelType w:val="hybridMultilevel"/>
    <w:tmpl w:val="6894743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993448C"/>
    <w:multiLevelType w:val="hybridMultilevel"/>
    <w:tmpl w:val="78106B08"/>
    <w:lvl w:ilvl="0" w:tplc="080A0001">
      <w:start w:val="1"/>
      <w:numFmt w:val="bullet"/>
      <w:lvlText w:val=""/>
      <w:lvlJc w:val="left"/>
      <w:pPr>
        <w:ind w:left="787" w:hanging="360"/>
      </w:pPr>
      <w:rPr>
        <w:rFonts w:ascii="Symbol" w:hAnsi="Symbol" w:hint="default"/>
      </w:rPr>
    </w:lvl>
    <w:lvl w:ilvl="1" w:tplc="080A0003">
      <w:start w:val="1"/>
      <w:numFmt w:val="bullet"/>
      <w:lvlText w:val="o"/>
      <w:lvlJc w:val="left"/>
      <w:pPr>
        <w:ind w:left="1507" w:hanging="360"/>
      </w:pPr>
      <w:rPr>
        <w:rFonts w:ascii="Courier New" w:hAnsi="Courier New" w:cs="Courier New" w:hint="default"/>
      </w:rPr>
    </w:lvl>
    <w:lvl w:ilvl="2" w:tplc="080A0005">
      <w:start w:val="1"/>
      <w:numFmt w:val="bullet"/>
      <w:lvlText w:val=""/>
      <w:lvlJc w:val="left"/>
      <w:pPr>
        <w:ind w:left="2227" w:hanging="360"/>
      </w:pPr>
      <w:rPr>
        <w:rFonts w:ascii="Wingdings" w:hAnsi="Wingdings" w:hint="default"/>
      </w:rPr>
    </w:lvl>
    <w:lvl w:ilvl="3" w:tplc="080A0001">
      <w:start w:val="1"/>
      <w:numFmt w:val="bullet"/>
      <w:lvlText w:val=""/>
      <w:lvlJc w:val="left"/>
      <w:pPr>
        <w:ind w:left="2947" w:hanging="360"/>
      </w:pPr>
      <w:rPr>
        <w:rFonts w:ascii="Symbol" w:hAnsi="Symbol" w:hint="default"/>
      </w:rPr>
    </w:lvl>
    <w:lvl w:ilvl="4" w:tplc="080A0003">
      <w:start w:val="1"/>
      <w:numFmt w:val="bullet"/>
      <w:lvlText w:val="o"/>
      <w:lvlJc w:val="left"/>
      <w:pPr>
        <w:ind w:left="3667" w:hanging="360"/>
      </w:pPr>
      <w:rPr>
        <w:rFonts w:ascii="Courier New" w:hAnsi="Courier New" w:cs="Courier New" w:hint="default"/>
      </w:rPr>
    </w:lvl>
    <w:lvl w:ilvl="5" w:tplc="080A0005">
      <w:start w:val="1"/>
      <w:numFmt w:val="bullet"/>
      <w:lvlText w:val=""/>
      <w:lvlJc w:val="left"/>
      <w:pPr>
        <w:ind w:left="4387" w:hanging="360"/>
      </w:pPr>
      <w:rPr>
        <w:rFonts w:ascii="Wingdings" w:hAnsi="Wingdings" w:hint="default"/>
      </w:rPr>
    </w:lvl>
    <w:lvl w:ilvl="6" w:tplc="080A0001">
      <w:start w:val="1"/>
      <w:numFmt w:val="bullet"/>
      <w:lvlText w:val=""/>
      <w:lvlJc w:val="left"/>
      <w:pPr>
        <w:ind w:left="5107" w:hanging="360"/>
      </w:pPr>
      <w:rPr>
        <w:rFonts w:ascii="Symbol" w:hAnsi="Symbol" w:hint="default"/>
      </w:rPr>
    </w:lvl>
    <w:lvl w:ilvl="7" w:tplc="080A0003">
      <w:start w:val="1"/>
      <w:numFmt w:val="bullet"/>
      <w:lvlText w:val="o"/>
      <w:lvlJc w:val="left"/>
      <w:pPr>
        <w:ind w:left="5827" w:hanging="360"/>
      </w:pPr>
      <w:rPr>
        <w:rFonts w:ascii="Courier New" w:hAnsi="Courier New" w:cs="Courier New" w:hint="default"/>
      </w:rPr>
    </w:lvl>
    <w:lvl w:ilvl="8" w:tplc="080A0005">
      <w:start w:val="1"/>
      <w:numFmt w:val="bullet"/>
      <w:lvlText w:val=""/>
      <w:lvlJc w:val="left"/>
      <w:pPr>
        <w:ind w:left="6547" w:hanging="360"/>
      </w:pPr>
      <w:rPr>
        <w:rFonts w:ascii="Wingdings" w:hAnsi="Wingdings" w:hint="default"/>
      </w:rPr>
    </w:lvl>
  </w:abstractNum>
  <w:abstractNum w:abstractNumId="27" w15:restartNumberingAfterBreak="0">
    <w:nsid w:val="7BC80C67"/>
    <w:multiLevelType w:val="hybridMultilevel"/>
    <w:tmpl w:val="1F4C136E"/>
    <w:lvl w:ilvl="0" w:tplc="A7ACE4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9"/>
  </w:num>
  <w:num w:numId="3">
    <w:abstractNumId w:val="20"/>
  </w:num>
  <w:num w:numId="4">
    <w:abstractNumId w:val="17"/>
  </w:num>
  <w:num w:numId="5">
    <w:abstractNumId w:val="12"/>
  </w:num>
  <w:num w:numId="6">
    <w:abstractNumId w:val="14"/>
  </w:num>
  <w:num w:numId="7">
    <w:abstractNumId w:val="27"/>
  </w:num>
  <w:num w:numId="8">
    <w:abstractNumId w:val="2"/>
  </w:num>
  <w:num w:numId="9">
    <w:abstractNumId w:val="19"/>
  </w:num>
  <w:num w:numId="10">
    <w:abstractNumId w:val="21"/>
  </w:num>
  <w:num w:numId="11">
    <w:abstractNumId w:val="1"/>
  </w:num>
  <w:num w:numId="12">
    <w:abstractNumId w:val="0"/>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5"/>
  </w:num>
  <w:num w:numId="17">
    <w:abstractNumId w:val="8"/>
  </w:num>
  <w:num w:numId="18">
    <w:abstractNumId w:val="18"/>
  </w:num>
  <w:num w:numId="19">
    <w:abstractNumId w:val="26"/>
  </w:num>
  <w:num w:numId="20">
    <w:abstractNumId w:val="23"/>
  </w:num>
  <w:num w:numId="21">
    <w:abstractNumId w:val="5"/>
  </w:num>
  <w:num w:numId="22">
    <w:abstractNumId w:val="10"/>
  </w:num>
  <w:num w:numId="23">
    <w:abstractNumId w:val="6"/>
  </w:num>
  <w:num w:numId="24">
    <w:abstractNumId w:val="7"/>
  </w:num>
  <w:num w:numId="25">
    <w:abstractNumId w:val="22"/>
  </w:num>
  <w:num w:numId="26">
    <w:abstractNumId w:val="3"/>
  </w:num>
  <w:num w:numId="27">
    <w:abstractNumId w:val="24"/>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62"/>
    <w:rsid w:val="000002DF"/>
    <w:rsid w:val="000005E7"/>
    <w:rsid w:val="00000EE0"/>
    <w:rsid w:val="00014207"/>
    <w:rsid w:val="00015642"/>
    <w:rsid w:val="00015ADF"/>
    <w:rsid w:val="00024942"/>
    <w:rsid w:val="0003470E"/>
    <w:rsid w:val="000356A5"/>
    <w:rsid w:val="0005403A"/>
    <w:rsid w:val="0005719C"/>
    <w:rsid w:val="000602B5"/>
    <w:rsid w:val="00075990"/>
    <w:rsid w:val="00077161"/>
    <w:rsid w:val="0008473B"/>
    <w:rsid w:val="000909A0"/>
    <w:rsid w:val="000941FE"/>
    <w:rsid w:val="000966B4"/>
    <w:rsid w:val="00096988"/>
    <w:rsid w:val="00097ABC"/>
    <w:rsid w:val="000A286B"/>
    <w:rsid w:val="000A3C15"/>
    <w:rsid w:val="000A44A8"/>
    <w:rsid w:val="000A54D0"/>
    <w:rsid w:val="000C0E1E"/>
    <w:rsid w:val="000E3E89"/>
    <w:rsid w:val="000F1175"/>
    <w:rsid w:val="001149BA"/>
    <w:rsid w:val="00115560"/>
    <w:rsid w:val="00115856"/>
    <w:rsid w:val="00116BC5"/>
    <w:rsid w:val="001261AA"/>
    <w:rsid w:val="0013176B"/>
    <w:rsid w:val="001356FC"/>
    <w:rsid w:val="00140471"/>
    <w:rsid w:val="001408DA"/>
    <w:rsid w:val="0014340F"/>
    <w:rsid w:val="00147305"/>
    <w:rsid w:val="0015342F"/>
    <w:rsid w:val="0016191E"/>
    <w:rsid w:val="00162550"/>
    <w:rsid w:val="00172A4C"/>
    <w:rsid w:val="00172C5C"/>
    <w:rsid w:val="0018280B"/>
    <w:rsid w:val="00193363"/>
    <w:rsid w:val="001B14A3"/>
    <w:rsid w:val="001C17B8"/>
    <w:rsid w:val="001E0A72"/>
    <w:rsid w:val="001F7BED"/>
    <w:rsid w:val="002039A8"/>
    <w:rsid w:val="00211134"/>
    <w:rsid w:val="00221FE1"/>
    <w:rsid w:val="0022309E"/>
    <w:rsid w:val="002336F8"/>
    <w:rsid w:val="002424F1"/>
    <w:rsid w:val="00256E5A"/>
    <w:rsid w:val="00260298"/>
    <w:rsid w:val="00265DEC"/>
    <w:rsid w:val="00270101"/>
    <w:rsid w:val="0027217C"/>
    <w:rsid w:val="00273140"/>
    <w:rsid w:val="00281C8D"/>
    <w:rsid w:val="00284D82"/>
    <w:rsid w:val="002A2E5E"/>
    <w:rsid w:val="002A44B7"/>
    <w:rsid w:val="002A5F8B"/>
    <w:rsid w:val="002B1AF7"/>
    <w:rsid w:val="002C2BC1"/>
    <w:rsid w:val="002D2C06"/>
    <w:rsid w:val="002E2BCF"/>
    <w:rsid w:val="002E5437"/>
    <w:rsid w:val="002F54E1"/>
    <w:rsid w:val="002F5F4B"/>
    <w:rsid w:val="00301B33"/>
    <w:rsid w:val="003067D8"/>
    <w:rsid w:val="00315C99"/>
    <w:rsid w:val="0032350E"/>
    <w:rsid w:val="003421EF"/>
    <w:rsid w:val="00345934"/>
    <w:rsid w:val="003503AD"/>
    <w:rsid w:val="00355B3F"/>
    <w:rsid w:val="003654B7"/>
    <w:rsid w:val="003859A0"/>
    <w:rsid w:val="003B277E"/>
    <w:rsid w:val="003B729D"/>
    <w:rsid w:val="003C20A8"/>
    <w:rsid w:val="003D3E48"/>
    <w:rsid w:val="003D3FB2"/>
    <w:rsid w:val="003D5396"/>
    <w:rsid w:val="003E2B98"/>
    <w:rsid w:val="003F1309"/>
    <w:rsid w:val="003F3C9E"/>
    <w:rsid w:val="003F7F02"/>
    <w:rsid w:val="00400E86"/>
    <w:rsid w:val="00420171"/>
    <w:rsid w:val="00432048"/>
    <w:rsid w:val="00436D83"/>
    <w:rsid w:val="00440F5C"/>
    <w:rsid w:val="00451B0F"/>
    <w:rsid w:val="004602E9"/>
    <w:rsid w:val="004636CF"/>
    <w:rsid w:val="00480497"/>
    <w:rsid w:val="0048204D"/>
    <w:rsid w:val="004827E4"/>
    <w:rsid w:val="00493439"/>
    <w:rsid w:val="00497684"/>
    <w:rsid w:val="004A015D"/>
    <w:rsid w:val="004A1845"/>
    <w:rsid w:val="004C64FF"/>
    <w:rsid w:val="004D0261"/>
    <w:rsid w:val="004D34E4"/>
    <w:rsid w:val="004E0CD2"/>
    <w:rsid w:val="004E2290"/>
    <w:rsid w:val="004E35A0"/>
    <w:rsid w:val="004F149D"/>
    <w:rsid w:val="004F1BDE"/>
    <w:rsid w:val="004F68EC"/>
    <w:rsid w:val="00501819"/>
    <w:rsid w:val="00503BD1"/>
    <w:rsid w:val="00504D28"/>
    <w:rsid w:val="00511824"/>
    <w:rsid w:val="005157B0"/>
    <w:rsid w:val="00531D2C"/>
    <w:rsid w:val="0053360A"/>
    <w:rsid w:val="005376DC"/>
    <w:rsid w:val="005541D5"/>
    <w:rsid w:val="00554259"/>
    <w:rsid w:val="00563455"/>
    <w:rsid w:val="005762AF"/>
    <w:rsid w:val="0057759C"/>
    <w:rsid w:val="00594B03"/>
    <w:rsid w:val="00595148"/>
    <w:rsid w:val="00595B6C"/>
    <w:rsid w:val="005A43A0"/>
    <w:rsid w:val="005A5883"/>
    <w:rsid w:val="005B608B"/>
    <w:rsid w:val="005C47D3"/>
    <w:rsid w:val="005C6F62"/>
    <w:rsid w:val="005D01D1"/>
    <w:rsid w:val="005E4F9F"/>
    <w:rsid w:val="005F65AA"/>
    <w:rsid w:val="006053FF"/>
    <w:rsid w:val="00621622"/>
    <w:rsid w:val="006300A3"/>
    <w:rsid w:val="006337E9"/>
    <w:rsid w:val="00640AAF"/>
    <w:rsid w:val="00642589"/>
    <w:rsid w:val="00660A90"/>
    <w:rsid w:val="006646F0"/>
    <w:rsid w:val="0066511F"/>
    <w:rsid w:val="006737DB"/>
    <w:rsid w:val="00673B76"/>
    <w:rsid w:val="00674388"/>
    <w:rsid w:val="0069291B"/>
    <w:rsid w:val="006A60D0"/>
    <w:rsid w:val="006A6BBE"/>
    <w:rsid w:val="006B4823"/>
    <w:rsid w:val="006D0505"/>
    <w:rsid w:val="006D68C7"/>
    <w:rsid w:val="006E3E2D"/>
    <w:rsid w:val="006F39E5"/>
    <w:rsid w:val="0071214D"/>
    <w:rsid w:val="00723656"/>
    <w:rsid w:val="00744B1F"/>
    <w:rsid w:val="00752673"/>
    <w:rsid w:val="00764DBA"/>
    <w:rsid w:val="00783530"/>
    <w:rsid w:val="00784358"/>
    <w:rsid w:val="00785E62"/>
    <w:rsid w:val="007902DE"/>
    <w:rsid w:val="00795D2B"/>
    <w:rsid w:val="00796390"/>
    <w:rsid w:val="007A0839"/>
    <w:rsid w:val="007A0ADA"/>
    <w:rsid w:val="007A1A58"/>
    <w:rsid w:val="007A54D9"/>
    <w:rsid w:val="007A5F79"/>
    <w:rsid w:val="007B4A79"/>
    <w:rsid w:val="007C2077"/>
    <w:rsid w:val="007C5886"/>
    <w:rsid w:val="007D5672"/>
    <w:rsid w:val="007E0084"/>
    <w:rsid w:val="007E3450"/>
    <w:rsid w:val="007E4ACA"/>
    <w:rsid w:val="007F1754"/>
    <w:rsid w:val="007F2594"/>
    <w:rsid w:val="00801C61"/>
    <w:rsid w:val="00805376"/>
    <w:rsid w:val="0081167A"/>
    <w:rsid w:val="00813B8F"/>
    <w:rsid w:val="008160F4"/>
    <w:rsid w:val="00834F5B"/>
    <w:rsid w:val="0084377C"/>
    <w:rsid w:val="008513E9"/>
    <w:rsid w:val="00853B98"/>
    <w:rsid w:val="008805F3"/>
    <w:rsid w:val="008922A3"/>
    <w:rsid w:val="008A1D3D"/>
    <w:rsid w:val="008A29EF"/>
    <w:rsid w:val="008A47EB"/>
    <w:rsid w:val="008C4E0F"/>
    <w:rsid w:val="008F48AA"/>
    <w:rsid w:val="008F4AE6"/>
    <w:rsid w:val="0090066B"/>
    <w:rsid w:val="00904559"/>
    <w:rsid w:val="00911B39"/>
    <w:rsid w:val="00915539"/>
    <w:rsid w:val="0092514D"/>
    <w:rsid w:val="0092612A"/>
    <w:rsid w:val="00927F81"/>
    <w:rsid w:val="009458C6"/>
    <w:rsid w:val="00954EF3"/>
    <w:rsid w:val="009562DC"/>
    <w:rsid w:val="00956F49"/>
    <w:rsid w:val="009947F3"/>
    <w:rsid w:val="0099777F"/>
    <w:rsid w:val="009A1336"/>
    <w:rsid w:val="009A3502"/>
    <w:rsid w:val="009A4651"/>
    <w:rsid w:val="009B732D"/>
    <w:rsid w:val="009C3F7A"/>
    <w:rsid w:val="009C61EA"/>
    <w:rsid w:val="009C665A"/>
    <w:rsid w:val="009C7403"/>
    <w:rsid w:val="009E345B"/>
    <w:rsid w:val="009E3E6B"/>
    <w:rsid w:val="009E70E9"/>
    <w:rsid w:val="009F7FFA"/>
    <w:rsid w:val="00A00D9E"/>
    <w:rsid w:val="00A00FF0"/>
    <w:rsid w:val="00A2591C"/>
    <w:rsid w:val="00A3086D"/>
    <w:rsid w:val="00A4290A"/>
    <w:rsid w:val="00A44C6D"/>
    <w:rsid w:val="00A52927"/>
    <w:rsid w:val="00A552F7"/>
    <w:rsid w:val="00A55D88"/>
    <w:rsid w:val="00A76521"/>
    <w:rsid w:val="00A77B32"/>
    <w:rsid w:val="00AA135D"/>
    <w:rsid w:val="00AA52B5"/>
    <w:rsid w:val="00AC1507"/>
    <w:rsid w:val="00AD0EF5"/>
    <w:rsid w:val="00AE69E8"/>
    <w:rsid w:val="00B04422"/>
    <w:rsid w:val="00B05038"/>
    <w:rsid w:val="00B16560"/>
    <w:rsid w:val="00B22F1C"/>
    <w:rsid w:val="00B25602"/>
    <w:rsid w:val="00B2641B"/>
    <w:rsid w:val="00B32492"/>
    <w:rsid w:val="00B546AB"/>
    <w:rsid w:val="00BA62A9"/>
    <w:rsid w:val="00BB6E47"/>
    <w:rsid w:val="00BC5DEB"/>
    <w:rsid w:val="00BF3AE5"/>
    <w:rsid w:val="00C0405D"/>
    <w:rsid w:val="00C11169"/>
    <w:rsid w:val="00C17EE1"/>
    <w:rsid w:val="00C37AE3"/>
    <w:rsid w:val="00C434EB"/>
    <w:rsid w:val="00C50A0F"/>
    <w:rsid w:val="00C56CCF"/>
    <w:rsid w:val="00C76584"/>
    <w:rsid w:val="00C806D8"/>
    <w:rsid w:val="00C806EF"/>
    <w:rsid w:val="00C826A2"/>
    <w:rsid w:val="00C83E34"/>
    <w:rsid w:val="00C84495"/>
    <w:rsid w:val="00C875E8"/>
    <w:rsid w:val="00CA264F"/>
    <w:rsid w:val="00CC14FA"/>
    <w:rsid w:val="00CD197A"/>
    <w:rsid w:val="00D1213C"/>
    <w:rsid w:val="00D15D3A"/>
    <w:rsid w:val="00D15F55"/>
    <w:rsid w:val="00D242FC"/>
    <w:rsid w:val="00D30082"/>
    <w:rsid w:val="00D31E9E"/>
    <w:rsid w:val="00D37055"/>
    <w:rsid w:val="00D4263A"/>
    <w:rsid w:val="00D50A7D"/>
    <w:rsid w:val="00D50BCB"/>
    <w:rsid w:val="00D555C3"/>
    <w:rsid w:val="00D579FE"/>
    <w:rsid w:val="00D6007B"/>
    <w:rsid w:val="00D67867"/>
    <w:rsid w:val="00D83BC4"/>
    <w:rsid w:val="00D92284"/>
    <w:rsid w:val="00D94B67"/>
    <w:rsid w:val="00D96584"/>
    <w:rsid w:val="00D9661A"/>
    <w:rsid w:val="00DA1031"/>
    <w:rsid w:val="00DA5450"/>
    <w:rsid w:val="00DA7C33"/>
    <w:rsid w:val="00DB1A6A"/>
    <w:rsid w:val="00DC6CA2"/>
    <w:rsid w:val="00DD0466"/>
    <w:rsid w:val="00DE1449"/>
    <w:rsid w:val="00DE16A5"/>
    <w:rsid w:val="00E03D15"/>
    <w:rsid w:val="00E073EB"/>
    <w:rsid w:val="00E1391C"/>
    <w:rsid w:val="00E1688E"/>
    <w:rsid w:val="00E22344"/>
    <w:rsid w:val="00E23E2D"/>
    <w:rsid w:val="00E24015"/>
    <w:rsid w:val="00E3531A"/>
    <w:rsid w:val="00E426AF"/>
    <w:rsid w:val="00E428D8"/>
    <w:rsid w:val="00E507AB"/>
    <w:rsid w:val="00E528C1"/>
    <w:rsid w:val="00E637D6"/>
    <w:rsid w:val="00E72248"/>
    <w:rsid w:val="00E83B80"/>
    <w:rsid w:val="00E8595B"/>
    <w:rsid w:val="00E866D7"/>
    <w:rsid w:val="00E9134E"/>
    <w:rsid w:val="00EA0CA0"/>
    <w:rsid w:val="00EA1B83"/>
    <w:rsid w:val="00EC457B"/>
    <w:rsid w:val="00EC786C"/>
    <w:rsid w:val="00ED1DA1"/>
    <w:rsid w:val="00EE1B8A"/>
    <w:rsid w:val="00EE4DCB"/>
    <w:rsid w:val="00EF2E8D"/>
    <w:rsid w:val="00F031A6"/>
    <w:rsid w:val="00F0697C"/>
    <w:rsid w:val="00F10B75"/>
    <w:rsid w:val="00F1112B"/>
    <w:rsid w:val="00F20438"/>
    <w:rsid w:val="00F267FC"/>
    <w:rsid w:val="00F3285E"/>
    <w:rsid w:val="00F543DC"/>
    <w:rsid w:val="00FA1BAE"/>
    <w:rsid w:val="00FA35EF"/>
    <w:rsid w:val="00FB0116"/>
    <w:rsid w:val="00FC0CA6"/>
    <w:rsid w:val="00FC1801"/>
    <w:rsid w:val="00FF54DB"/>
    <w:rsid w:val="00FF5F87"/>
    <w:rsid w:val="00FF7F7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D1D91"/>
  <w14:defaultImageDpi w14:val="300"/>
  <w15:docId w15:val="{C26CAA20-7E61-4B8E-90CA-F5F62B592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922A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D4263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421EF"/>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01420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F62"/>
    <w:pPr>
      <w:tabs>
        <w:tab w:val="center" w:pos="4252"/>
        <w:tab w:val="right" w:pos="8504"/>
      </w:tabs>
    </w:pPr>
  </w:style>
  <w:style w:type="character" w:customStyle="1" w:styleId="EncabezadoCar">
    <w:name w:val="Encabezado Car"/>
    <w:basedOn w:val="Fuentedeprrafopredeter"/>
    <w:link w:val="Encabezado"/>
    <w:uiPriority w:val="99"/>
    <w:rsid w:val="005C6F62"/>
  </w:style>
  <w:style w:type="paragraph" w:styleId="Piedepgina">
    <w:name w:val="footer"/>
    <w:basedOn w:val="Normal"/>
    <w:link w:val="PiedepginaCar"/>
    <w:uiPriority w:val="99"/>
    <w:unhideWhenUsed/>
    <w:rsid w:val="005C6F62"/>
    <w:pPr>
      <w:tabs>
        <w:tab w:val="center" w:pos="4252"/>
        <w:tab w:val="right" w:pos="8504"/>
      </w:tabs>
    </w:pPr>
  </w:style>
  <w:style w:type="character" w:customStyle="1" w:styleId="PiedepginaCar">
    <w:name w:val="Pie de página Car"/>
    <w:basedOn w:val="Fuentedeprrafopredeter"/>
    <w:link w:val="Piedepgina"/>
    <w:uiPriority w:val="99"/>
    <w:rsid w:val="005C6F62"/>
  </w:style>
  <w:style w:type="paragraph" w:styleId="Textodeglobo">
    <w:name w:val="Balloon Text"/>
    <w:basedOn w:val="Normal"/>
    <w:link w:val="TextodegloboCar"/>
    <w:uiPriority w:val="99"/>
    <w:semiHidden/>
    <w:unhideWhenUsed/>
    <w:rsid w:val="005C6F6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C6F62"/>
    <w:rPr>
      <w:rFonts w:ascii="Lucida Grande" w:hAnsi="Lucida Grande"/>
      <w:sz w:val="18"/>
      <w:szCs w:val="18"/>
    </w:rPr>
  </w:style>
  <w:style w:type="paragraph" w:customStyle="1" w:styleId="paragraph">
    <w:name w:val="paragraph"/>
    <w:basedOn w:val="Normal"/>
    <w:rsid w:val="009E345B"/>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9E345B"/>
  </w:style>
  <w:style w:type="character" w:customStyle="1" w:styleId="eop">
    <w:name w:val="eop"/>
    <w:basedOn w:val="Fuentedeprrafopredeter"/>
    <w:rsid w:val="009E345B"/>
  </w:style>
  <w:style w:type="paragraph" w:styleId="NormalWeb">
    <w:name w:val="Normal (Web)"/>
    <w:basedOn w:val="Normal"/>
    <w:uiPriority w:val="99"/>
    <w:semiHidden/>
    <w:unhideWhenUsed/>
    <w:rsid w:val="007C2077"/>
    <w:rPr>
      <w:rFonts w:ascii="Times New Roman" w:hAnsi="Times New Roman" w:cs="Times New Roman"/>
    </w:rPr>
  </w:style>
  <w:style w:type="character" w:styleId="Refdenotaalpie">
    <w:name w:val="footnote reference"/>
    <w:basedOn w:val="Fuentedeprrafopredeter"/>
    <w:uiPriority w:val="99"/>
    <w:semiHidden/>
    <w:unhideWhenUsed/>
    <w:rsid w:val="007C2077"/>
    <w:rPr>
      <w:vertAlign w:val="superscript"/>
    </w:rPr>
  </w:style>
  <w:style w:type="paragraph" w:styleId="Textonotapie">
    <w:name w:val="footnote text"/>
    <w:basedOn w:val="Normal"/>
    <w:link w:val="TextonotapieCar1"/>
    <w:uiPriority w:val="99"/>
    <w:unhideWhenUsed/>
    <w:rsid w:val="007C2077"/>
    <w:rPr>
      <w:sz w:val="20"/>
      <w:szCs w:val="20"/>
    </w:rPr>
  </w:style>
  <w:style w:type="character" w:customStyle="1" w:styleId="TextonotapieCar">
    <w:name w:val="Texto nota pie Car"/>
    <w:basedOn w:val="Fuentedeprrafopredeter"/>
    <w:uiPriority w:val="99"/>
    <w:semiHidden/>
    <w:rsid w:val="007C2077"/>
    <w:rPr>
      <w:sz w:val="20"/>
      <w:szCs w:val="20"/>
    </w:rPr>
  </w:style>
  <w:style w:type="character" w:customStyle="1" w:styleId="TextonotapieCar1">
    <w:name w:val="Texto nota pie Car1"/>
    <w:basedOn w:val="Fuentedeprrafopredeter"/>
    <w:link w:val="Textonotapie"/>
    <w:uiPriority w:val="99"/>
    <w:rsid w:val="007C2077"/>
    <w:rPr>
      <w:sz w:val="20"/>
      <w:szCs w:val="20"/>
    </w:rPr>
  </w:style>
  <w:style w:type="character" w:styleId="Refdecomentario">
    <w:name w:val="annotation reference"/>
    <w:basedOn w:val="Fuentedeprrafopredeter"/>
    <w:uiPriority w:val="99"/>
    <w:semiHidden/>
    <w:unhideWhenUsed/>
    <w:rsid w:val="007C2077"/>
    <w:rPr>
      <w:sz w:val="16"/>
      <w:szCs w:val="16"/>
    </w:rPr>
  </w:style>
  <w:style w:type="paragraph" w:styleId="Textocomentario">
    <w:name w:val="annotation text"/>
    <w:basedOn w:val="Normal"/>
    <w:link w:val="TextocomentarioCar"/>
    <w:uiPriority w:val="99"/>
    <w:semiHidden/>
    <w:unhideWhenUsed/>
    <w:rsid w:val="007C2077"/>
    <w:rPr>
      <w:sz w:val="20"/>
      <w:szCs w:val="20"/>
    </w:rPr>
  </w:style>
  <w:style w:type="character" w:customStyle="1" w:styleId="TextocomentarioCar">
    <w:name w:val="Texto comentario Car"/>
    <w:basedOn w:val="Fuentedeprrafopredeter"/>
    <w:link w:val="Textocomentario"/>
    <w:uiPriority w:val="99"/>
    <w:semiHidden/>
    <w:rsid w:val="007C2077"/>
    <w:rPr>
      <w:sz w:val="20"/>
      <w:szCs w:val="20"/>
    </w:rPr>
  </w:style>
  <w:style w:type="paragraph" w:customStyle="1" w:styleId="Textonotapie1">
    <w:name w:val="Texto nota pie1"/>
    <w:basedOn w:val="Normal"/>
    <w:next w:val="Textonotapie"/>
    <w:uiPriority w:val="99"/>
    <w:unhideWhenUsed/>
    <w:rsid w:val="00D83BC4"/>
    <w:rPr>
      <w:rFonts w:eastAsia="Times New Roman"/>
      <w:sz w:val="20"/>
      <w:szCs w:val="20"/>
    </w:rPr>
  </w:style>
  <w:style w:type="character" w:styleId="nfasis">
    <w:name w:val="Emphasis"/>
    <w:basedOn w:val="Fuentedeprrafopredeter"/>
    <w:uiPriority w:val="20"/>
    <w:qFormat/>
    <w:rsid w:val="00D83BC4"/>
    <w:rPr>
      <w:i/>
      <w:iCs/>
    </w:rPr>
  </w:style>
  <w:style w:type="table" w:styleId="Tablaconcuadrcula">
    <w:name w:val="Table Grid"/>
    <w:basedOn w:val="Tablanormal"/>
    <w:uiPriority w:val="59"/>
    <w:rsid w:val="00D83B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F7FFA"/>
    <w:rPr>
      <w:color w:val="0000FF"/>
      <w:u w:val="single"/>
    </w:rPr>
  </w:style>
  <w:style w:type="paragraph" w:styleId="Asuntodelcomentario">
    <w:name w:val="annotation subject"/>
    <w:basedOn w:val="Textocomentario"/>
    <w:next w:val="Textocomentario"/>
    <w:link w:val="AsuntodelcomentarioCar"/>
    <w:uiPriority w:val="99"/>
    <w:semiHidden/>
    <w:unhideWhenUsed/>
    <w:rsid w:val="00B05038"/>
    <w:rPr>
      <w:b/>
      <w:bCs/>
    </w:rPr>
  </w:style>
  <w:style w:type="character" w:customStyle="1" w:styleId="AsuntodelcomentarioCar">
    <w:name w:val="Asunto del comentario Car"/>
    <w:basedOn w:val="TextocomentarioCar"/>
    <w:link w:val="Asuntodelcomentario"/>
    <w:uiPriority w:val="99"/>
    <w:semiHidden/>
    <w:rsid w:val="00B05038"/>
    <w:rPr>
      <w:b/>
      <w:bCs/>
      <w:sz w:val="20"/>
      <w:szCs w:val="20"/>
    </w:rPr>
  </w:style>
  <w:style w:type="character" w:styleId="Mencinsinresolver">
    <w:name w:val="Unresolved Mention"/>
    <w:basedOn w:val="Fuentedeprrafopredeter"/>
    <w:uiPriority w:val="99"/>
    <w:semiHidden/>
    <w:unhideWhenUsed/>
    <w:rsid w:val="00E1688E"/>
    <w:rPr>
      <w:color w:val="605E5C"/>
      <w:shd w:val="clear" w:color="auto" w:fill="E1DFDD"/>
    </w:rPr>
  </w:style>
  <w:style w:type="table" w:styleId="Tablaconcuadrcula4-nfasis3">
    <w:name w:val="Grid Table 4 Accent 3"/>
    <w:basedOn w:val="Tablanormal"/>
    <w:uiPriority w:val="49"/>
    <w:rsid w:val="007A0AD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
    <w:name w:val="Grid Table 4"/>
    <w:basedOn w:val="Tablanormal"/>
    <w:uiPriority w:val="49"/>
    <w:rsid w:val="007A0AD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rafodelista">
    <w:name w:val="List Paragraph"/>
    <w:basedOn w:val="Normal"/>
    <w:uiPriority w:val="34"/>
    <w:qFormat/>
    <w:rsid w:val="009562DC"/>
    <w:pPr>
      <w:ind w:left="720"/>
      <w:contextualSpacing/>
    </w:pPr>
  </w:style>
  <w:style w:type="character" w:customStyle="1" w:styleId="Ttulo1Car">
    <w:name w:val="Título 1 Car"/>
    <w:basedOn w:val="Fuentedeprrafopredeter"/>
    <w:link w:val="Ttulo1"/>
    <w:uiPriority w:val="9"/>
    <w:rsid w:val="008922A3"/>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922A3"/>
    <w:pPr>
      <w:spacing w:line="259" w:lineRule="auto"/>
      <w:outlineLvl w:val="9"/>
    </w:pPr>
    <w:rPr>
      <w:lang w:val="es-MX" w:eastAsia="es-MX"/>
    </w:rPr>
  </w:style>
  <w:style w:type="paragraph" w:styleId="TDC2">
    <w:name w:val="toc 2"/>
    <w:basedOn w:val="Normal"/>
    <w:next w:val="Normal"/>
    <w:autoRedefine/>
    <w:uiPriority w:val="39"/>
    <w:unhideWhenUsed/>
    <w:rsid w:val="002E2BCF"/>
    <w:pPr>
      <w:tabs>
        <w:tab w:val="left" w:pos="1100"/>
        <w:tab w:val="right" w:leader="dot" w:pos="9962"/>
      </w:tabs>
      <w:spacing w:after="100"/>
      <w:ind w:left="240"/>
    </w:pPr>
    <w:rPr>
      <w:rFonts w:ascii="Times New Roman" w:hAnsi="Times New Roman" w:cs="Times New Roman"/>
      <w:noProof/>
    </w:rPr>
  </w:style>
  <w:style w:type="paragraph" w:styleId="TDC3">
    <w:name w:val="toc 3"/>
    <w:basedOn w:val="Normal"/>
    <w:next w:val="Normal"/>
    <w:autoRedefine/>
    <w:uiPriority w:val="39"/>
    <w:unhideWhenUsed/>
    <w:rsid w:val="008A47EB"/>
    <w:pPr>
      <w:tabs>
        <w:tab w:val="right" w:leader="dot" w:pos="9962"/>
      </w:tabs>
      <w:spacing w:after="100"/>
      <w:ind w:left="480"/>
    </w:pPr>
    <w:rPr>
      <w:rFonts w:ascii="Times New Roman" w:eastAsia="Times New Roman" w:hAnsi="Times New Roman" w:cs="Times New Roman"/>
      <w:b/>
      <w:noProof/>
    </w:rPr>
  </w:style>
  <w:style w:type="character" w:styleId="Hipervnculovisitado">
    <w:name w:val="FollowedHyperlink"/>
    <w:basedOn w:val="Fuentedeprrafopredeter"/>
    <w:uiPriority w:val="99"/>
    <w:semiHidden/>
    <w:unhideWhenUsed/>
    <w:rsid w:val="0053360A"/>
    <w:rPr>
      <w:color w:val="954F72" w:themeColor="followedHyperlink"/>
      <w:u w:val="single"/>
    </w:rPr>
  </w:style>
  <w:style w:type="character" w:customStyle="1" w:styleId="Ttulo2Car">
    <w:name w:val="Título 2 Car"/>
    <w:basedOn w:val="Fuentedeprrafopredeter"/>
    <w:link w:val="Ttulo2"/>
    <w:uiPriority w:val="9"/>
    <w:semiHidden/>
    <w:rsid w:val="00D4263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3421EF"/>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014207"/>
    <w:rPr>
      <w:rFonts w:asciiTheme="majorHAnsi" w:eastAsiaTheme="majorEastAsia" w:hAnsiTheme="majorHAnsi" w:cstheme="majorBidi"/>
      <w:i/>
      <w:iCs/>
      <w:color w:val="2F5496" w:themeColor="accent1" w:themeShade="BF"/>
    </w:rPr>
  </w:style>
  <w:style w:type="paragraph" w:styleId="TDC1">
    <w:name w:val="toc 1"/>
    <w:basedOn w:val="Normal"/>
    <w:next w:val="Normal"/>
    <w:autoRedefine/>
    <w:uiPriority w:val="39"/>
    <w:unhideWhenUsed/>
    <w:rsid w:val="008A47EB"/>
    <w:pPr>
      <w:tabs>
        <w:tab w:val="left" w:pos="480"/>
        <w:tab w:val="right" w:leader="dot" w:pos="9962"/>
      </w:tabs>
      <w:spacing w:after="100"/>
    </w:pPr>
    <w:rPr>
      <w:rFonts w:ascii="Times New Roman" w:eastAsia="Times New Roman" w:hAnsi="Times New Roman" w:cs="Times New Roman"/>
      <w:b/>
      <w:bCs/>
      <w:noProof/>
    </w:rPr>
  </w:style>
  <w:style w:type="paragraph" w:styleId="TDC4">
    <w:name w:val="toc 4"/>
    <w:basedOn w:val="Normal"/>
    <w:next w:val="Normal"/>
    <w:autoRedefine/>
    <w:uiPriority w:val="39"/>
    <w:unhideWhenUsed/>
    <w:rsid w:val="00014207"/>
    <w:pPr>
      <w:spacing w:after="100"/>
      <w:ind w:left="720"/>
    </w:pPr>
  </w:style>
  <w:style w:type="table" w:styleId="Tablaconcuadrcula4-nfasis2">
    <w:name w:val="Grid Table 4 Accent 2"/>
    <w:basedOn w:val="Tablanormal"/>
    <w:uiPriority w:val="49"/>
    <w:rsid w:val="008A47E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1">
    <w:name w:val="Grid Table 6 Colorful Accent 1"/>
    <w:basedOn w:val="Tablanormal"/>
    <w:uiPriority w:val="51"/>
    <w:rsid w:val="00B25602"/>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6concolores">
    <w:name w:val="Grid Table 6 Colorful"/>
    <w:basedOn w:val="Tablanormal"/>
    <w:uiPriority w:val="51"/>
    <w:rsid w:val="00B2560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83474">
      <w:bodyDiv w:val="1"/>
      <w:marLeft w:val="0"/>
      <w:marRight w:val="0"/>
      <w:marTop w:val="0"/>
      <w:marBottom w:val="0"/>
      <w:divBdr>
        <w:top w:val="none" w:sz="0" w:space="0" w:color="auto"/>
        <w:left w:val="none" w:sz="0" w:space="0" w:color="auto"/>
        <w:bottom w:val="none" w:sz="0" w:space="0" w:color="auto"/>
        <w:right w:val="none" w:sz="0" w:space="0" w:color="auto"/>
      </w:divBdr>
    </w:div>
    <w:div w:id="233324547">
      <w:bodyDiv w:val="1"/>
      <w:marLeft w:val="0"/>
      <w:marRight w:val="0"/>
      <w:marTop w:val="0"/>
      <w:marBottom w:val="0"/>
      <w:divBdr>
        <w:top w:val="none" w:sz="0" w:space="0" w:color="auto"/>
        <w:left w:val="none" w:sz="0" w:space="0" w:color="auto"/>
        <w:bottom w:val="none" w:sz="0" w:space="0" w:color="auto"/>
        <w:right w:val="none" w:sz="0" w:space="0" w:color="auto"/>
      </w:divBdr>
    </w:div>
    <w:div w:id="794175421">
      <w:bodyDiv w:val="1"/>
      <w:marLeft w:val="0"/>
      <w:marRight w:val="0"/>
      <w:marTop w:val="0"/>
      <w:marBottom w:val="0"/>
      <w:divBdr>
        <w:top w:val="none" w:sz="0" w:space="0" w:color="auto"/>
        <w:left w:val="none" w:sz="0" w:space="0" w:color="auto"/>
        <w:bottom w:val="none" w:sz="0" w:space="0" w:color="auto"/>
        <w:right w:val="none" w:sz="0" w:space="0" w:color="auto"/>
      </w:divBdr>
    </w:div>
    <w:div w:id="1303580249">
      <w:bodyDiv w:val="1"/>
      <w:marLeft w:val="0"/>
      <w:marRight w:val="0"/>
      <w:marTop w:val="0"/>
      <w:marBottom w:val="0"/>
      <w:divBdr>
        <w:top w:val="none" w:sz="0" w:space="0" w:color="auto"/>
        <w:left w:val="none" w:sz="0" w:space="0" w:color="auto"/>
        <w:bottom w:val="none" w:sz="0" w:space="0" w:color="auto"/>
        <w:right w:val="none" w:sz="0" w:space="0" w:color="auto"/>
      </w:divBdr>
    </w:div>
    <w:div w:id="1566061017">
      <w:bodyDiv w:val="1"/>
      <w:marLeft w:val="0"/>
      <w:marRight w:val="0"/>
      <w:marTop w:val="0"/>
      <w:marBottom w:val="0"/>
      <w:divBdr>
        <w:top w:val="none" w:sz="0" w:space="0" w:color="auto"/>
        <w:left w:val="none" w:sz="0" w:space="0" w:color="auto"/>
        <w:bottom w:val="none" w:sz="0" w:space="0" w:color="auto"/>
        <w:right w:val="none" w:sz="0" w:space="0" w:color="auto"/>
      </w:divBdr>
    </w:div>
    <w:div w:id="1743408795">
      <w:bodyDiv w:val="1"/>
      <w:marLeft w:val="0"/>
      <w:marRight w:val="0"/>
      <w:marTop w:val="0"/>
      <w:marBottom w:val="0"/>
      <w:divBdr>
        <w:top w:val="none" w:sz="0" w:space="0" w:color="auto"/>
        <w:left w:val="none" w:sz="0" w:space="0" w:color="auto"/>
        <w:bottom w:val="none" w:sz="0" w:space="0" w:color="auto"/>
        <w:right w:val="none" w:sz="0" w:space="0" w:color="auto"/>
      </w:divBdr>
    </w:div>
    <w:div w:id="1962108973">
      <w:bodyDiv w:val="1"/>
      <w:marLeft w:val="0"/>
      <w:marRight w:val="0"/>
      <w:marTop w:val="0"/>
      <w:marBottom w:val="0"/>
      <w:divBdr>
        <w:top w:val="none" w:sz="0" w:space="0" w:color="auto"/>
        <w:left w:val="none" w:sz="0" w:space="0" w:color="auto"/>
        <w:bottom w:val="none" w:sz="0" w:space="0" w:color="auto"/>
        <w:right w:val="none" w:sz="0" w:space="0" w:color="auto"/>
      </w:divBdr>
    </w:div>
    <w:div w:id="20549628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8.xml"/><Relationship Id="rId26" Type="http://schemas.openxmlformats.org/officeDocument/2006/relationships/image" Target="media/image7.png"/><Relationship Id="rId39" Type="http://schemas.openxmlformats.org/officeDocument/2006/relationships/hyperlink" Target="http://www.conacyt.gob.mx/index.php/fondos-y-apoyos/fondos-sectoriales" TargetMode="External"/><Relationship Id="rId21" Type="http://schemas.openxmlformats.org/officeDocument/2006/relationships/chart" Target="charts/chart9.xml"/><Relationship Id="rId34" Type="http://schemas.openxmlformats.org/officeDocument/2006/relationships/oleObject" Target="embeddings/Dibujo_de_Microsoft_Visio_2003-2010.vsd"/><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png"/><Relationship Id="rId29" Type="http://schemas.openxmlformats.org/officeDocument/2006/relationships/chart" Target="charts/chart13.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2.xml"/><Relationship Id="rId32" Type="http://schemas.openxmlformats.org/officeDocument/2006/relationships/hyperlink" Target="http://www.conacyt.mx/index.php/el-conacyt/convocatorias-y-resultados-conacyt%20" TargetMode="External"/><Relationship Id="rId37" Type="http://schemas.openxmlformats.org/officeDocument/2006/relationships/hyperlink" Target="https://www.conacyt.gob.mx/" TargetMode="External"/><Relationship Id="rId40" Type="http://schemas.openxmlformats.org/officeDocument/2006/relationships/hyperlink" Target="http://portaltransparencia.gob.mx/pot/directorio/begin.do?method=begin&amp;_idDependencia=11112"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image" Target="media/image9.png"/><Relationship Id="rId36" Type="http://schemas.openxmlformats.org/officeDocument/2006/relationships/hyperlink" Target="http://www.conacyt.mx/images/conacyt/cooperacion/S192.zip" TargetMode="External"/><Relationship Id="rId10" Type="http://schemas.openxmlformats.org/officeDocument/2006/relationships/image" Target="media/image2.png"/><Relationship Id="rId19" Type="http://schemas.openxmlformats.org/officeDocument/2006/relationships/image" Target="media/image4.emf"/><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image" Target="media/image8.png"/><Relationship Id="rId30" Type="http://schemas.openxmlformats.org/officeDocument/2006/relationships/hyperlink" Target="https://www.conacyt.gob.mx/images/conacyt/normatividad/interna/Reglas_de_Operacion_Fomento_Sectorial.pdf" TargetMode="External"/><Relationship Id="rId35" Type="http://schemas.openxmlformats.org/officeDocument/2006/relationships/hyperlink" Target="http://www.conacyt.mx/images/conacyt/cooperacion/S192.zip" TargetMode="External"/><Relationship Id="rId43" Type="http://schemas.openxmlformats.org/officeDocument/2006/relationships/theme" Target="theme/theme1.xml"/><Relationship Id="rId8" Type="http://schemas.openxmlformats.org/officeDocument/2006/relationships/hyperlink" Target="https://www.conacyt.gob.mx/index.php/fondos-sectoriales-constituidos2"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image" Target="media/image6.png"/><Relationship Id="rId33" Type="http://schemas.openxmlformats.org/officeDocument/2006/relationships/image" Target="media/image11.emf"/><Relationship Id="rId38" Type="http://schemas.openxmlformats.org/officeDocument/2006/relationships/hyperlink" Target="http://www.siicyt.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D:\Usuarios\jose.marcos\Escritorio\Conacyt\Base\Bases%20s192%20actualizaci&#243;n%20Doc\Tabl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Usuarios\jose.marcos\Escritorio\Conacyt\Base\Bases%20s192%20actualizaci&#243;n%20Doc\Tabla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Usuarios\jose.marcos\Escritorio\Conacyt\Base\Bases%20s192%20actualizaci&#243;n%20Doc\Tabla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2.xml"/><Relationship Id="rId4" Type="http://schemas.openxmlformats.org/officeDocument/2006/relationships/oleObject" Target="file:///D:\Usuarios\jose.marcos\Escritorio\Conacyt\Base\Bases%20s192%20actualizaci&#243;n%20Doc\Tablas.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D:\Usuarios\jose.marcos\Escritorio\Conacyt\Base\Bases%20s192%20actualizaci&#243;n%20Doc\Tabl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uarios\jose.marcos\Escritorio\Conacyt\Base\Bases%20s192%20actualizaci&#243;n%20Doc\Tabl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uarios\jose.marcos\Escritorio\Conacyt\Base\Bases%20s192%20actualizaci&#243;n%20Doc\Tabla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uarios\jose.marcos\Escritorio\Conacyt\Base\Bases%20s192%20actualizaci&#243;n%20Doc\Tabl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Usuarios\jose.marcos\Escritorio\Conacyt\Base\Bases%20s192%20actualizaci&#243;n%20Doc\Tabl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Usuarios\jose.marcos\Escritorio\Conacyt\Base\Bases%20s192%20actualizaci&#243;n%20Doc\Tabl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Usuarios\jose.marcos\Escritorio\Conacyt\Base\Bases%20s192%20actualizaci&#243;n%20Doc\Tabl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99613337963266"/>
          <c:y val="8.0065454163320143E-2"/>
          <c:w val="0.83143662318592082"/>
          <c:h val="0.71713953296352728"/>
        </c:manualLayout>
      </c:layout>
      <c:lineChart>
        <c:grouping val="standard"/>
        <c:varyColors val="0"/>
        <c:ser>
          <c:idx val="0"/>
          <c:order val="0"/>
          <c:tx>
            <c:strRef>
              <c:f>'Tab2'!$F$3</c:f>
              <c:strCache>
                <c:ptCount val="1"/>
                <c:pt idx="0">
                  <c:v>GIDE/PIB</c:v>
                </c:pt>
              </c:strCache>
            </c:strRef>
          </c:tx>
          <c:spPr>
            <a:ln w="34925" cap="rnd">
              <a:solidFill>
                <a:schemeClr val="accent2"/>
              </a:solidFill>
              <a:round/>
            </a:ln>
            <a:effectLst>
              <a:outerShdw blurRad="57150" dist="19050" dir="5400000" algn="ctr" rotWithShape="0">
                <a:srgbClr val="000000">
                  <a:alpha val="63000"/>
                </a:srgbClr>
              </a:outerShdw>
            </a:effectLst>
          </c:spPr>
          <c:marker>
            <c:symbol val="diamond"/>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'Tab2'!$A$4:$A$11</c:f>
              <c:numCache>
                <c:formatCode>General</c:formatCode>
                <c:ptCount val="8"/>
                <c:pt idx="0">
                  <c:v>2010</c:v>
                </c:pt>
                <c:pt idx="1">
                  <c:v>2011</c:v>
                </c:pt>
                <c:pt idx="2">
                  <c:v>2012</c:v>
                </c:pt>
                <c:pt idx="3">
                  <c:v>2013</c:v>
                </c:pt>
                <c:pt idx="4">
                  <c:v>2014</c:v>
                </c:pt>
                <c:pt idx="5">
                  <c:v>2015</c:v>
                </c:pt>
                <c:pt idx="6">
                  <c:v>2016</c:v>
                </c:pt>
                <c:pt idx="7">
                  <c:v>2017</c:v>
                </c:pt>
              </c:numCache>
            </c:numRef>
          </c:cat>
          <c:val>
            <c:numRef>
              <c:f>'Tab2'!$F$4:$F$11</c:f>
              <c:numCache>
                <c:formatCode>_("$"* #,##0.00_);_("$"* \(#,##0.00\);_("$"* "-"??_);_(@_)</c:formatCode>
                <c:ptCount val="8"/>
                <c:pt idx="0">
                  <c:v>95703</c:v>
                </c:pt>
                <c:pt idx="1">
                  <c:v>94804</c:v>
                </c:pt>
                <c:pt idx="2">
                  <c:v>93456</c:v>
                </c:pt>
                <c:pt idx="3">
                  <c:v>97378</c:v>
                </c:pt>
                <c:pt idx="4">
                  <c:v>106301</c:v>
                </c:pt>
                <c:pt idx="5">
                  <c:v>108404</c:v>
                </c:pt>
                <c:pt idx="6">
                  <c:v>103810</c:v>
                </c:pt>
                <c:pt idx="7">
                  <c:v>97166</c:v>
                </c:pt>
              </c:numCache>
            </c:numRef>
          </c:val>
          <c:smooth val="0"/>
          <c:extLst>
            <c:ext xmlns:c16="http://schemas.microsoft.com/office/drawing/2014/chart" uri="{C3380CC4-5D6E-409C-BE32-E72D297353CC}">
              <c16:uniqueId val="{00000000-4205-4C61-B434-92C5F4739BAE}"/>
            </c:ext>
          </c:extLst>
        </c:ser>
        <c:ser>
          <c:idx val="1"/>
          <c:order val="1"/>
          <c:tx>
            <c:strRef>
              <c:f>'Tab2'!$G$3</c:f>
              <c:strCache>
                <c:ptCount val="1"/>
                <c:pt idx="0">
                  <c:v>GIDE Público/PIB</c:v>
                </c:pt>
              </c:strCache>
            </c:strRef>
          </c:tx>
          <c:spPr>
            <a:ln w="34925" cap="rnd">
              <a:solidFill>
                <a:schemeClr val="accent4"/>
              </a:solidFill>
              <a:round/>
            </a:ln>
            <a:effectLst>
              <a:outerShdw blurRad="57150" dist="19050" dir="5400000" algn="ctr" rotWithShape="0">
                <a:srgbClr val="000000">
                  <a:alpha val="63000"/>
                </a:srgbClr>
              </a:outerShdw>
            </a:effectLst>
          </c:spPr>
          <c:marker>
            <c:symbol val="diamond"/>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'Tab2'!$A$4:$A$11</c:f>
              <c:numCache>
                <c:formatCode>General</c:formatCode>
                <c:ptCount val="8"/>
                <c:pt idx="0">
                  <c:v>2010</c:v>
                </c:pt>
                <c:pt idx="1">
                  <c:v>2011</c:v>
                </c:pt>
                <c:pt idx="2">
                  <c:v>2012</c:v>
                </c:pt>
                <c:pt idx="3">
                  <c:v>2013</c:v>
                </c:pt>
                <c:pt idx="4">
                  <c:v>2014</c:v>
                </c:pt>
                <c:pt idx="5">
                  <c:v>2015</c:v>
                </c:pt>
                <c:pt idx="6">
                  <c:v>2016</c:v>
                </c:pt>
                <c:pt idx="7">
                  <c:v>2017</c:v>
                </c:pt>
              </c:numCache>
            </c:numRef>
          </c:cat>
          <c:val>
            <c:numRef>
              <c:f>'Tab2'!$G$4:$G$11</c:f>
              <c:numCache>
                <c:formatCode>_("$"* #,##0.00_);_("$"* \(#,##0.00\);_("$"* "-"??_);_(@_)</c:formatCode>
                <c:ptCount val="8"/>
                <c:pt idx="0">
                  <c:v>59728</c:v>
                </c:pt>
                <c:pt idx="1">
                  <c:v>59640</c:v>
                </c:pt>
                <c:pt idx="2">
                  <c:v>63347</c:v>
                </c:pt>
                <c:pt idx="3">
                  <c:v>68906</c:v>
                </c:pt>
                <c:pt idx="4">
                  <c:v>76292</c:v>
                </c:pt>
                <c:pt idx="5">
                  <c:v>76168</c:v>
                </c:pt>
                <c:pt idx="6">
                  <c:v>69921</c:v>
                </c:pt>
                <c:pt idx="7">
                  <c:v>61154</c:v>
                </c:pt>
              </c:numCache>
            </c:numRef>
          </c:val>
          <c:smooth val="0"/>
          <c:extLst>
            <c:ext xmlns:c16="http://schemas.microsoft.com/office/drawing/2014/chart" uri="{C3380CC4-5D6E-409C-BE32-E72D297353CC}">
              <c16:uniqueId val="{00000001-4205-4C61-B434-92C5F4739BAE}"/>
            </c:ext>
          </c:extLst>
        </c:ser>
        <c:ser>
          <c:idx val="2"/>
          <c:order val="2"/>
          <c:tx>
            <c:strRef>
              <c:f>'Tab2'!$H$3</c:f>
              <c:strCache>
                <c:ptCount val="1"/>
                <c:pt idx="0">
                  <c:v>GIDE Privado/PIB</c:v>
                </c:pt>
              </c:strCache>
            </c:strRef>
          </c:tx>
          <c:spPr>
            <a:ln w="34925" cap="rnd">
              <a:solidFill>
                <a:schemeClr val="accent6"/>
              </a:solidFill>
              <a:round/>
            </a:ln>
            <a:effectLst>
              <a:outerShdw blurRad="57150" dist="19050" dir="5400000" algn="ctr" rotWithShape="0">
                <a:srgbClr val="000000">
                  <a:alpha val="63000"/>
                </a:srgbClr>
              </a:outerShdw>
            </a:effectLst>
          </c:spPr>
          <c:marker>
            <c:symbol val="square"/>
            <c:size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'Tab2'!$A$4:$A$11</c:f>
              <c:numCache>
                <c:formatCode>General</c:formatCode>
                <c:ptCount val="8"/>
                <c:pt idx="0">
                  <c:v>2010</c:v>
                </c:pt>
                <c:pt idx="1">
                  <c:v>2011</c:v>
                </c:pt>
                <c:pt idx="2">
                  <c:v>2012</c:v>
                </c:pt>
                <c:pt idx="3">
                  <c:v>2013</c:v>
                </c:pt>
                <c:pt idx="4">
                  <c:v>2014</c:v>
                </c:pt>
                <c:pt idx="5">
                  <c:v>2015</c:v>
                </c:pt>
                <c:pt idx="6">
                  <c:v>2016</c:v>
                </c:pt>
                <c:pt idx="7">
                  <c:v>2017</c:v>
                </c:pt>
              </c:numCache>
            </c:numRef>
          </c:cat>
          <c:val>
            <c:numRef>
              <c:f>'Tab2'!$H$4:$H$11</c:f>
              <c:numCache>
                <c:formatCode>_("$"* #,##0.00_);_("$"* \(#,##0.00\);_("$"* "-"??_);_(@_)</c:formatCode>
                <c:ptCount val="8"/>
                <c:pt idx="0">
                  <c:v>31384</c:v>
                </c:pt>
                <c:pt idx="1">
                  <c:v>30726</c:v>
                </c:pt>
                <c:pt idx="2">
                  <c:v>22893</c:v>
                </c:pt>
                <c:pt idx="3">
                  <c:v>20349</c:v>
                </c:pt>
                <c:pt idx="4">
                  <c:v>20670</c:v>
                </c:pt>
                <c:pt idx="5">
                  <c:v>21327</c:v>
                </c:pt>
                <c:pt idx="6">
                  <c:v>21461</c:v>
                </c:pt>
                <c:pt idx="7">
                  <c:v>21964</c:v>
                </c:pt>
              </c:numCache>
            </c:numRef>
          </c:val>
          <c:smooth val="0"/>
          <c:extLst>
            <c:ext xmlns:c16="http://schemas.microsoft.com/office/drawing/2014/chart" uri="{C3380CC4-5D6E-409C-BE32-E72D297353CC}">
              <c16:uniqueId val="{00000002-4205-4C61-B434-92C5F4739BAE}"/>
            </c:ext>
          </c:extLst>
        </c:ser>
        <c:ser>
          <c:idx val="3"/>
          <c:order val="3"/>
          <c:tx>
            <c:strRef>
              <c:f>'Tab2'!$I$3</c:f>
              <c:strCache>
                <c:ptCount val="1"/>
                <c:pt idx="0">
                  <c:v>GIDE Otros/PIB</c:v>
                </c:pt>
              </c:strCache>
            </c:strRef>
          </c:tx>
          <c:spPr>
            <a:ln w="34925" cap="rnd">
              <a:solidFill>
                <a:schemeClr val="accent2">
                  <a:lumMod val="60000"/>
                </a:schemeClr>
              </a:solidFill>
              <a:round/>
            </a:ln>
            <a:effectLst>
              <a:outerShdw blurRad="57150" dist="19050" dir="5400000" algn="ctr" rotWithShape="0">
                <a:srgbClr val="000000">
                  <a:alpha val="63000"/>
                </a:srgbClr>
              </a:outerShdw>
            </a:effectLst>
          </c:spPr>
          <c:marker>
            <c:symbol val="diamond"/>
            <c:size val="5"/>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9525">
                <a:solidFill>
                  <a:schemeClr val="accent2">
                    <a:lumMod val="60000"/>
                  </a:schemeClr>
                </a:solidFill>
                <a:round/>
              </a:ln>
              <a:effectLst>
                <a:outerShdw blurRad="57150" dist="19050" dir="5400000" algn="ctr" rotWithShape="0">
                  <a:srgbClr val="000000">
                    <a:alpha val="63000"/>
                  </a:srgbClr>
                </a:outerShdw>
              </a:effectLst>
            </c:spPr>
          </c:marker>
          <c:dLbls>
            <c:dLbl>
              <c:idx val="5"/>
              <c:layout>
                <c:manualLayout>
                  <c:x val="-6.2068078796467488E-2"/>
                  <c:y val="-3.08961665778431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6E-4D50-ACB2-2BF32C861AE1}"/>
                </c:ext>
              </c:extLst>
            </c:dLbl>
            <c:dLbl>
              <c:idx val="6"/>
              <c:layout>
                <c:manualLayout>
                  <c:x val="-6.2068078796467488E-2"/>
                  <c:y val="-3.0896166577843165E-2"/>
                </c:manualLayout>
              </c:layout>
              <c:tx>
                <c:rich>
                  <a:bodyPr/>
                  <a:lstStyle/>
                  <a:p>
                    <a:fld id="{E93902F6-5708-4C0A-AF34-4FE894D2278B}" type="VALUE">
                      <a:rPr lang="en-US" sz="800"/>
                      <a:pPr/>
                      <a:t>[VALOR]</a:t>
                    </a:fld>
                    <a:endParaRPr lang="es-MX"/>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36E-4D50-ACB2-2BF32C861AE1}"/>
                </c:ext>
              </c:extLst>
            </c:dLbl>
            <c:dLbl>
              <c:idx val="7"/>
              <c:layout>
                <c:manualLayout>
                  <c:x val="-2.7575009619625914E-2"/>
                  <c:y val="-2.3269855805679199E-2"/>
                </c:manualLayout>
              </c:layout>
              <c:tx>
                <c:rich>
                  <a:bodyPr/>
                  <a:lstStyle/>
                  <a:p>
                    <a:fld id="{F15181FD-B5E7-48D2-9B22-047DFB408370}" type="VALUE">
                      <a:rPr lang="en-US" sz="800"/>
                      <a:pPr/>
                      <a:t>[VALOR]</a:t>
                    </a:fld>
                    <a:endParaRPr lang="es-MX"/>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36E-4D50-ACB2-2BF32C861AE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'Tab2'!$A$4:$A$11</c:f>
              <c:numCache>
                <c:formatCode>General</c:formatCode>
                <c:ptCount val="8"/>
                <c:pt idx="0">
                  <c:v>2010</c:v>
                </c:pt>
                <c:pt idx="1">
                  <c:v>2011</c:v>
                </c:pt>
                <c:pt idx="2">
                  <c:v>2012</c:v>
                </c:pt>
                <c:pt idx="3">
                  <c:v>2013</c:v>
                </c:pt>
                <c:pt idx="4">
                  <c:v>2014</c:v>
                </c:pt>
                <c:pt idx="5">
                  <c:v>2015</c:v>
                </c:pt>
                <c:pt idx="6">
                  <c:v>2016</c:v>
                </c:pt>
                <c:pt idx="7">
                  <c:v>2017</c:v>
                </c:pt>
              </c:numCache>
            </c:numRef>
          </c:cat>
          <c:val>
            <c:numRef>
              <c:f>'Tab2'!$I$4:$I$11</c:f>
              <c:numCache>
                <c:formatCode>_("$"* #,##0.00_);_("$"* \(#,##0.00\);_("$"* "-"??_);_(@_)</c:formatCode>
                <c:ptCount val="8"/>
                <c:pt idx="0">
                  <c:v>4592</c:v>
                </c:pt>
                <c:pt idx="1">
                  <c:v>4438</c:v>
                </c:pt>
                <c:pt idx="2">
                  <c:v>7216</c:v>
                </c:pt>
                <c:pt idx="3">
                  <c:v>8122</c:v>
                </c:pt>
                <c:pt idx="4">
                  <c:v>9340</c:v>
                </c:pt>
                <c:pt idx="5">
                  <c:v>10909</c:v>
                </c:pt>
                <c:pt idx="6">
                  <c:v>12428</c:v>
                </c:pt>
                <c:pt idx="7">
                  <c:v>14048</c:v>
                </c:pt>
              </c:numCache>
            </c:numRef>
          </c:val>
          <c:smooth val="0"/>
          <c:extLst>
            <c:ext xmlns:c16="http://schemas.microsoft.com/office/drawing/2014/chart" uri="{C3380CC4-5D6E-409C-BE32-E72D297353CC}">
              <c16:uniqueId val="{00000003-4205-4C61-B434-92C5F4739BAE}"/>
            </c:ext>
          </c:extLst>
        </c:ser>
        <c:dLbls>
          <c:dLblPos val="t"/>
          <c:showLegendKey val="0"/>
          <c:showVal val="1"/>
          <c:showCatName val="0"/>
          <c:showSerName val="0"/>
          <c:showPercent val="0"/>
          <c:showBubbleSize val="0"/>
        </c:dLbls>
        <c:marker val="1"/>
        <c:smooth val="0"/>
        <c:axId val="333345928"/>
        <c:axId val="333344944"/>
      </c:lineChart>
      <c:catAx>
        <c:axId val="333345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333344944"/>
        <c:crosses val="autoZero"/>
        <c:auto val="1"/>
        <c:lblAlgn val="ctr"/>
        <c:lblOffset val="100"/>
        <c:noMultiLvlLbl val="0"/>
      </c:catAx>
      <c:valAx>
        <c:axId val="33334494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333345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800" b="1">
                <a:solidFill>
                  <a:sysClr val="windowText" lastClr="000000"/>
                </a:solidFill>
              </a:rPr>
              <a:t>Fondos de investigación de universitaria</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24818113253084745"/>
          <c:y val="0.13364670925568267"/>
          <c:w val="0.75181886746915261"/>
          <c:h val="0.48827970088644579"/>
        </c:manualLayout>
      </c:layout>
      <c:barChart>
        <c:barDir val="col"/>
        <c:grouping val="clustered"/>
        <c:varyColors val="0"/>
        <c:ser>
          <c:idx val="2"/>
          <c:order val="2"/>
          <c:tx>
            <c:strRef>
              <c:f>'Edo - Uni'!$D$4:$D$5</c:f>
              <c:strCache>
                <c:ptCount val="2"/>
                <c:pt idx="0">
                  <c:v>2011</c:v>
                </c:pt>
              </c:strCache>
            </c:strRef>
          </c:tx>
          <c:spPr>
            <a:solidFill>
              <a:schemeClr val="accent3"/>
            </a:solidFill>
            <a:ln>
              <a:noFill/>
            </a:ln>
            <a:effectLst/>
          </c:spPr>
          <c:invertIfNegative val="0"/>
          <c:cat>
            <c:strRef>
              <c:f>'Edo - Uni'!$A$6:$A$46</c:f>
              <c:strCache>
                <c:ptCount val="10"/>
                <c:pt idx="0">
                  <c:v>Chile</c:v>
                </c:pt>
                <c:pt idx="1">
                  <c:v>Dinamarca</c:v>
                </c:pt>
                <c:pt idx="2">
                  <c:v>Alemania</c:v>
                </c:pt>
                <c:pt idx="3">
                  <c:v>Israel</c:v>
                </c:pt>
                <c:pt idx="4">
                  <c:v>Japan</c:v>
                </c:pt>
                <c:pt idx="5">
                  <c:v>Korea</c:v>
                </c:pt>
                <c:pt idx="6">
                  <c:v>México</c:v>
                </c:pt>
                <c:pt idx="7">
                  <c:v>España</c:v>
                </c:pt>
                <c:pt idx="8">
                  <c:v>Reino Unido</c:v>
                </c:pt>
                <c:pt idx="9">
                  <c:v>Estados Unidos</c:v>
                </c:pt>
              </c:strCache>
            </c:strRef>
          </c:cat>
          <c:val>
            <c:numRef>
              <c:f>'Edo - Uni'!$D$6:$D$46</c:f>
              <c:numCache>
                <c:formatCode>#,##0.00_ ;\-#,##0.00\ </c:formatCode>
                <c:ptCount val="10"/>
                <c:pt idx="0">
                  <c:v>41.118701922749501</c:v>
                </c:pt>
                <c:pt idx="1">
                  <c:v>1052.5022358919</c:v>
                </c:pt>
                <c:pt idx="2">
                  <c:v>11898.135156128399</c:v>
                </c:pt>
                <c:pt idx="3">
                  <c:v>758.47389630192504</c:v>
                </c:pt>
                <c:pt idx="4">
                  <c:v>12357.5997525191</c:v>
                </c:pt>
                <c:pt idx="5">
                  <c:v>0</c:v>
                </c:pt>
                <c:pt idx="6">
                  <c:v>1607.5947921383899</c:v>
                </c:pt>
                <c:pt idx="7">
                  <c:v>2690.5333862558</c:v>
                </c:pt>
                <c:pt idx="8">
                  <c:v>3197.6396753817198</c:v>
                </c:pt>
                <c:pt idx="9">
                  <c:v>0</c:v>
                </c:pt>
              </c:numCache>
            </c:numRef>
          </c:val>
          <c:extLst>
            <c:ext xmlns:c16="http://schemas.microsoft.com/office/drawing/2014/chart" uri="{C3380CC4-5D6E-409C-BE32-E72D297353CC}">
              <c16:uniqueId val="{00000000-BA13-4430-AEAD-FBC1A105CA7E}"/>
            </c:ext>
          </c:extLst>
        </c:ser>
        <c:ser>
          <c:idx val="5"/>
          <c:order val="5"/>
          <c:tx>
            <c:strRef>
              <c:f>'Edo - Uni'!$G$4:$G$5</c:f>
              <c:strCache>
                <c:ptCount val="2"/>
                <c:pt idx="0">
                  <c:v>2014</c:v>
                </c:pt>
              </c:strCache>
            </c:strRef>
          </c:tx>
          <c:spPr>
            <a:solidFill>
              <a:schemeClr val="accent6"/>
            </a:solidFill>
            <a:ln>
              <a:noFill/>
            </a:ln>
            <a:effectLst/>
          </c:spPr>
          <c:invertIfNegative val="0"/>
          <c:cat>
            <c:strRef>
              <c:f>'Edo - Uni'!$A$6:$A$46</c:f>
              <c:strCache>
                <c:ptCount val="10"/>
                <c:pt idx="0">
                  <c:v>Chile</c:v>
                </c:pt>
                <c:pt idx="1">
                  <c:v>Dinamarca</c:v>
                </c:pt>
                <c:pt idx="2">
                  <c:v>Alemania</c:v>
                </c:pt>
                <c:pt idx="3">
                  <c:v>Israel</c:v>
                </c:pt>
                <c:pt idx="4">
                  <c:v>Japan</c:v>
                </c:pt>
                <c:pt idx="5">
                  <c:v>Korea</c:v>
                </c:pt>
                <c:pt idx="6">
                  <c:v>México</c:v>
                </c:pt>
                <c:pt idx="7">
                  <c:v>España</c:v>
                </c:pt>
                <c:pt idx="8">
                  <c:v>Reino Unido</c:v>
                </c:pt>
                <c:pt idx="9">
                  <c:v>Estados Unidos</c:v>
                </c:pt>
              </c:strCache>
            </c:strRef>
          </c:cat>
          <c:val>
            <c:numRef>
              <c:f>'Edo - Uni'!$G$6:$G$46</c:f>
              <c:numCache>
                <c:formatCode>#,##0.00_ ;\-#,##0.00\ </c:formatCode>
                <c:ptCount val="10"/>
                <c:pt idx="0">
                  <c:v>85.033430568003993</c:v>
                </c:pt>
                <c:pt idx="1">
                  <c:v>1184.1705015932801</c:v>
                </c:pt>
                <c:pt idx="2">
                  <c:v>13328.938866591699</c:v>
                </c:pt>
                <c:pt idx="3">
                  <c:v>908.56551749326798</c:v>
                </c:pt>
                <c:pt idx="4">
                  <c:v>12568.3251640656</c:v>
                </c:pt>
                <c:pt idx="5">
                  <c:v>0</c:v>
                </c:pt>
                <c:pt idx="6">
                  <c:v>1972.5896398275099</c:v>
                </c:pt>
                <c:pt idx="7">
                  <c:v>2483.05776816752</c:v>
                </c:pt>
                <c:pt idx="8">
                  <c:v>3353.88613849067</c:v>
                </c:pt>
                <c:pt idx="9">
                  <c:v>0</c:v>
                </c:pt>
              </c:numCache>
            </c:numRef>
          </c:val>
          <c:extLst>
            <c:ext xmlns:c16="http://schemas.microsoft.com/office/drawing/2014/chart" uri="{C3380CC4-5D6E-409C-BE32-E72D297353CC}">
              <c16:uniqueId val="{00000001-BA13-4430-AEAD-FBC1A105CA7E}"/>
            </c:ext>
          </c:extLst>
        </c:ser>
        <c:ser>
          <c:idx val="8"/>
          <c:order val="8"/>
          <c:tx>
            <c:strRef>
              <c:f>'Edo - Uni'!$J$4:$J$5</c:f>
              <c:strCache>
                <c:ptCount val="2"/>
                <c:pt idx="0">
                  <c:v>2017</c:v>
                </c:pt>
              </c:strCache>
            </c:strRef>
          </c:tx>
          <c:spPr>
            <a:solidFill>
              <a:schemeClr val="accent3">
                <a:lumMod val="60000"/>
              </a:schemeClr>
            </a:solidFill>
            <a:ln>
              <a:noFill/>
            </a:ln>
            <a:effectLst/>
          </c:spPr>
          <c:invertIfNegative val="0"/>
          <c:cat>
            <c:strRef>
              <c:f>'Edo - Uni'!$A$6:$A$46</c:f>
              <c:strCache>
                <c:ptCount val="10"/>
                <c:pt idx="0">
                  <c:v>Chile</c:v>
                </c:pt>
                <c:pt idx="1">
                  <c:v>Dinamarca</c:v>
                </c:pt>
                <c:pt idx="2">
                  <c:v>Alemania</c:v>
                </c:pt>
                <c:pt idx="3">
                  <c:v>Israel</c:v>
                </c:pt>
                <c:pt idx="4">
                  <c:v>Japan</c:v>
                </c:pt>
                <c:pt idx="5">
                  <c:v>Korea</c:v>
                </c:pt>
                <c:pt idx="6">
                  <c:v>México</c:v>
                </c:pt>
                <c:pt idx="7">
                  <c:v>España</c:v>
                </c:pt>
                <c:pt idx="8">
                  <c:v>Reino Unido</c:v>
                </c:pt>
                <c:pt idx="9">
                  <c:v>Estados Unidos</c:v>
                </c:pt>
              </c:strCache>
            </c:strRef>
          </c:cat>
          <c:val>
            <c:numRef>
              <c:f>'Edo - Uni'!$J$6:$J$46</c:f>
              <c:numCache>
                <c:formatCode>#,##0.00_ ;\-#,##0.00\ </c:formatCode>
                <c:ptCount val="10"/>
                <c:pt idx="0">
                  <c:v>65.3165980961125</c:v>
                </c:pt>
                <c:pt idx="1">
                  <c:v>1290.40647239757</c:v>
                </c:pt>
                <c:pt idx="2">
                  <c:v>16294.5168720406</c:v>
                </c:pt>
                <c:pt idx="3">
                  <c:v>1076.4753137786699</c:v>
                </c:pt>
                <c:pt idx="4">
                  <c:v>12173.382840563399</c:v>
                </c:pt>
                <c:pt idx="5">
                  <c:v>0</c:v>
                </c:pt>
                <c:pt idx="6">
                  <c:v>1952.81857226736</c:v>
                </c:pt>
                <c:pt idx="7">
                  <c:v>3048.6664680971098</c:v>
                </c:pt>
                <c:pt idx="8">
                  <c:v>3242.70873071196</c:v>
                </c:pt>
                <c:pt idx="9">
                  <c:v>0</c:v>
                </c:pt>
              </c:numCache>
            </c:numRef>
          </c:val>
          <c:extLst>
            <c:ext xmlns:c16="http://schemas.microsoft.com/office/drawing/2014/chart" uri="{C3380CC4-5D6E-409C-BE32-E72D297353CC}">
              <c16:uniqueId val="{00000002-BA13-4430-AEAD-FBC1A105CA7E}"/>
            </c:ext>
          </c:extLst>
        </c:ser>
        <c:dLbls>
          <c:showLegendKey val="0"/>
          <c:showVal val="0"/>
          <c:showCatName val="0"/>
          <c:showSerName val="0"/>
          <c:showPercent val="0"/>
          <c:showBubbleSize val="0"/>
        </c:dLbls>
        <c:gapWidth val="219"/>
        <c:overlap val="-27"/>
        <c:axId val="566673048"/>
        <c:axId val="566677968"/>
        <c:extLst>
          <c:ext xmlns:c15="http://schemas.microsoft.com/office/drawing/2012/chart" uri="{02D57815-91ED-43cb-92C2-25804820EDAC}">
            <c15:filteredBarSeries>
              <c15:ser>
                <c:idx val="0"/>
                <c:order val="0"/>
                <c:tx>
                  <c:strRef>
                    <c:extLst>
                      <c:ext uri="{02D57815-91ED-43cb-92C2-25804820EDAC}">
                        <c15:formulaRef>
                          <c15:sqref>'Edo - Uni'!$B$4:$B$5</c15:sqref>
                        </c15:formulaRef>
                      </c:ext>
                    </c:extLst>
                    <c:strCache>
                      <c:ptCount val="2"/>
                      <c:pt idx="0">
                        <c:v>Year</c:v>
                      </c:pt>
                      <c:pt idx="1">
                        <c:v>Country</c:v>
                      </c:pt>
                    </c:strCache>
                  </c:strRef>
                </c:tx>
                <c:spPr>
                  <a:solidFill>
                    <a:schemeClr val="accent1"/>
                  </a:solidFill>
                  <a:ln>
                    <a:noFill/>
                  </a:ln>
                  <a:effectLst/>
                </c:spPr>
                <c:invertIfNegative val="0"/>
                <c:cat>
                  <c:strRef>
                    <c:extLst>
                      <c:ext uri="{02D57815-91ED-43cb-92C2-25804820EDAC}">
                        <c15:formulaRef>
                          <c15:sqref>'Edo - Uni'!$A$6:$A$46</c15:sqref>
                        </c15:formulaRef>
                      </c:ext>
                    </c:extLst>
                    <c:strCache>
                      <c:ptCount val="10"/>
                      <c:pt idx="0">
                        <c:v>Chile</c:v>
                      </c:pt>
                      <c:pt idx="1">
                        <c:v>Dinamarca</c:v>
                      </c:pt>
                      <c:pt idx="2">
                        <c:v>Alemania</c:v>
                      </c:pt>
                      <c:pt idx="3">
                        <c:v>Israel</c:v>
                      </c:pt>
                      <c:pt idx="4">
                        <c:v>Japan</c:v>
                      </c:pt>
                      <c:pt idx="5">
                        <c:v>Korea</c:v>
                      </c:pt>
                      <c:pt idx="6">
                        <c:v>México</c:v>
                      </c:pt>
                      <c:pt idx="7">
                        <c:v>España</c:v>
                      </c:pt>
                      <c:pt idx="8">
                        <c:v>Reino Unido</c:v>
                      </c:pt>
                      <c:pt idx="9">
                        <c:v>Estados Unidos</c:v>
                      </c:pt>
                    </c:strCache>
                  </c:strRef>
                </c:cat>
                <c:val>
                  <c:numRef>
                    <c:extLst>
                      <c:ext uri="{02D57815-91ED-43cb-92C2-25804820EDAC}">
                        <c15:formulaRef>
                          <c15:sqref>'Edo - Uni'!$B$6:$B$46</c15:sqref>
                        </c15:formulaRef>
                      </c:ext>
                    </c:extLst>
                    <c:numCache>
                      <c:formatCode>General</c:formatCode>
                      <c:ptCount val="10"/>
                    </c:numCache>
                  </c:numRef>
                </c:val>
                <c:extLst>
                  <c:ext xmlns:c16="http://schemas.microsoft.com/office/drawing/2014/chart" uri="{C3380CC4-5D6E-409C-BE32-E72D297353CC}">
                    <c16:uniqueId val="{00000003-BA13-4430-AEAD-FBC1A105CA7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'Edo - Uni'!$C$4:$C$5</c15:sqref>
                        </c15:formulaRef>
                      </c:ext>
                    </c:extLst>
                    <c:strCache>
                      <c:ptCount val="2"/>
                      <c:pt idx="0">
                        <c:v>Year</c:v>
                      </c:pt>
                      <c:pt idx="1">
                        <c:v>Country</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'Edo - Uni'!$A$6:$A$46</c15:sqref>
                        </c15:formulaRef>
                      </c:ext>
                    </c:extLst>
                    <c:strCache>
                      <c:ptCount val="10"/>
                      <c:pt idx="0">
                        <c:v>Chile</c:v>
                      </c:pt>
                      <c:pt idx="1">
                        <c:v>Dinamarca</c:v>
                      </c:pt>
                      <c:pt idx="2">
                        <c:v>Alemania</c:v>
                      </c:pt>
                      <c:pt idx="3">
                        <c:v>Israel</c:v>
                      </c:pt>
                      <c:pt idx="4">
                        <c:v>Japan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Uni'!$C$6:$C$46</c15:sqref>
                        </c15:formulaRef>
                      </c:ext>
                    </c:extLst>
                    <c:numCache>
                      <c:formatCode>General</c:formatCode>
                      <c:ptCount val="10"/>
                      <c:pt idx="0">
                        <c:v>0</c:v>
                      </c:pt>
                      <c:pt idx="1">
                        <c:v>0</c:v>
                      </c:pt>
                      <c:pt idx="2">
                        <c:v>0</c:v>
                      </c:pt>
                      <c:pt idx="3">
                        <c:v>0</c:v>
                      </c:pt>
                      <c:pt idx="4">
                        <c:v>0</c:v>
                      </c:pt>
                      <c:pt idx="5">
                        <c:v>0</c:v>
                      </c:pt>
                      <c:pt idx="6">
                        <c:v>0</c:v>
                      </c:pt>
                      <c:pt idx="7">
                        <c:v>0</c:v>
                      </c:pt>
                      <c:pt idx="8">
                        <c:v>0</c:v>
                      </c:pt>
                      <c:pt idx="9">
                        <c:v>0</c:v>
                      </c:pt>
                    </c:numCache>
                  </c:numRef>
                </c:val>
                <c:extLst xmlns:c15="http://schemas.microsoft.com/office/drawing/2012/chart">
                  <c:ext xmlns:c16="http://schemas.microsoft.com/office/drawing/2014/chart" uri="{C3380CC4-5D6E-409C-BE32-E72D297353CC}">
                    <c16:uniqueId val="{00000004-BA13-4430-AEAD-FBC1A105CA7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'Edo - Uni'!$E$4:$E$5</c15:sqref>
                        </c15:formulaRef>
                      </c:ext>
                    </c:extLst>
                    <c:strCache>
                      <c:ptCount val="2"/>
                      <c:pt idx="0">
                        <c:v>2012</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'Edo - Uni'!$A$6:$A$46</c15:sqref>
                        </c15:formulaRef>
                      </c:ext>
                    </c:extLst>
                    <c:strCache>
                      <c:ptCount val="10"/>
                      <c:pt idx="0">
                        <c:v>Chile</c:v>
                      </c:pt>
                      <c:pt idx="1">
                        <c:v>Dinamarca</c:v>
                      </c:pt>
                      <c:pt idx="2">
                        <c:v>Alemania</c:v>
                      </c:pt>
                      <c:pt idx="3">
                        <c:v>Israel</c:v>
                      </c:pt>
                      <c:pt idx="4">
                        <c:v>Japan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Uni'!$E$6:$E$46</c15:sqref>
                        </c15:formulaRef>
                      </c:ext>
                    </c:extLst>
                    <c:numCache>
                      <c:formatCode>#,##0.00_ ;\-#,##0.00\ </c:formatCode>
                      <c:ptCount val="10"/>
                      <c:pt idx="0">
                        <c:v>44.107066947733998</c:v>
                      </c:pt>
                      <c:pt idx="1">
                        <c:v>1114.6943250028301</c:v>
                      </c:pt>
                      <c:pt idx="2">
                        <c:v>12205.995010271299</c:v>
                      </c:pt>
                      <c:pt idx="3">
                        <c:v>769.61419378253504</c:v>
                      </c:pt>
                      <c:pt idx="4">
                        <c:v>12977.6488940545</c:v>
                      </c:pt>
                      <c:pt idx="5">
                        <c:v>0</c:v>
                      </c:pt>
                      <c:pt idx="6">
                        <c:v>1906.9977681693199</c:v>
                      </c:pt>
                      <c:pt idx="7">
                        <c:v>2705.1611600456299</c:v>
                      </c:pt>
                      <c:pt idx="8">
                        <c:v>3114.01742412256</c:v>
                      </c:pt>
                      <c:pt idx="9">
                        <c:v>0</c:v>
                      </c:pt>
                    </c:numCache>
                  </c:numRef>
                </c:val>
                <c:extLst xmlns:c15="http://schemas.microsoft.com/office/drawing/2012/chart">
                  <c:ext xmlns:c16="http://schemas.microsoft.com/office/drawing/2014/chart" uri="{C3380CC4-5D6E-409C-BE32-E72D297353CC}">
                    <c16:uniqueId val="{00000005-BA13-4430-AEAD-FBC1A105CA7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'Edo - Uni'!$F$4:$F$5</c15:sqref>
                        </c15:formulaRef>
                      </c:ext>
                    </c:extLst>
                    <c:strCache>
                      <c:ptCount val="2"/>
                      <c:pt idx="0">
                        <c:v>2013</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'Edo - Uni'!$A$6:$A$46</c15:sqref>
                        </c15:formulaRef>
                      </c:ext>
                    </c:extLst>
                    <c:strCache>
                      <c:ptCount val="10"/>
                      <c:pt idx="0">
                        <c:v>Chile</c:v>
                      </c:pt>
                      <c:pt idx="1">
                        <c:v>Dinamarca</c:v>
                      </c:pt>
                      <c:pt idx="2">
                        <c:v>Alemania</c:v>
                      </c:pt>
                      <c:pt idx="3">
                        <c:v>Israel</c:v>
                      </c:pt>
                      <c:pt idx="4">
                        <c:v>Japan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Uni'!$F$6:$F$46</c15:sqref>
                        </c15:formulaRef>
                      </c:ext>
                    </c:extLst>
                    <c:numCache>
                      <c:formatCode>#,##0.00_ ;\-#,##0.00\ </c:formatCode>
                      <c:ptCount val="10"/>
                      <c:pt idx="0">
                        <c:v>43.454303051681102</c:v>
                      </c:pt>
                      <c:pt idx="1">
                        <c:v>1266.8518711057</c:v>
                      </c:pt>
                      <c:pt idx="2">
                        <c:v>13084.2389355348</c:v>
                      </c:pt>
                      <c:pt idx="3">
                        <c:v>881.29752669664902</c:v>
                      </c:pt>
                      <c:pt idx="4">
                        <c:v>12539.1064830217</c:v>
                      </c:pt>
                      <c:pt idx="5">
                        <c:v>0</c:v>
                      </c:pt>
                      <c:pt idx="6">
                        <c:v>1932.2362183016501</c:v>
                      </c:pt>
                      <c:pt idx="7">
                        <c:v>2479.7154932316498</c:v>
                      </c:pt>
                      <c:pt idx="8">
                        <c:v>3304.2886604596001</c:v>
                      </c:pt>
                      <c:pt idx="9">
                        <c:v>0</c:v>
                      </c:pt>
                    </c:numCache>
                  </c:numRef>
                </c:val>
                <c:extLst xmlns:c15="http://schemas.microsoft.com/office/drawing/2012/chart">
                  <c:ext xmlns:c16="http://schemas.microsoft.com/office/drawing/2014/chart" uri="{C3380CC4-5D6E-409C-BE32-E72D297353CC}">
                    <c16:uniqueId val="{00000006-BA13-4430-AEAD-FBC1A105CA7E}"/>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'Edo - Uni'!$H$4:$H$5</c15:sqref>
                        </c15:formulaRef>
                      </c:ext>
                    </c:extLst>
                    <c:strCache>
                      <c:ptCount val="2"/>
                      <c:pt idx="0">
                        <c:v>2015</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'Edo - Uni'!$A$6:$A$46</c15:sqref>
                        </c15:formulaRef>
                      </c:ext>
                    </c:extLst>
                    <c:strCache>
                      <c:ptCount val="10"/>
                      <c:pt idx="0">
                        <c:v>Chile</c:v>
                      </c:pt>
                      <c:pt idx="1">
                        <c:v>Dinamarca</c:v>
                      </c:pt>
                      <c:pt idx="2">
                        <c:v>Alemania</c:v>
                      </c:pt>
                      <c:pt idx="3">
                        <c:v>Israel</c:v>
                      </c:pt>
                      <c:pt idx="4">
                        <c:v>Japan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Uni'!$H$6:$H$46</c15:sqref>
                        </c15:formulaRef>
                      </c:ext>
                    </c:extLst>
                    <c:numCache>
                      <c:formatCode>#,##0.00_ ;\-#,##0.00\ </c:formatCode>
                      <c:ptCount val="10"/>
                      <c:pt idx="0">
                        <c:v>83.254967579665205</c:v>
                      </c:pt>
                      <c:pt idx="1">
                        <c:v>1204.69966104435</c:v>
                      </c:pt>
                      <c:pt idx="2">
                        <c:v>13779.5316483317</c:v>
                      </c:pt>
                      <c:pt idx="3">
                        <c:v>995.10105651700496</c:v>
                      </c:pt>
                      <c:pt idx="4">
                        <c:v>12293.767168591001</c:v>
                      </c:pt>
                      <c:pt idx="5">
                        <c:v>0</c:v>
                      </c:pt>
                      <c:pt idx="6">
                        <c:v>2136.2638257005801</c:v>
                      </c:pt>
                      <c:pt idx="7">
                        <c:v>2636.0832218864498</c:v>
                      </c:pt>
                      <c:pt idx="8">
                        <c:v>3203.0779035197802</c:v>
                      </c:pt>
                      <c:pt idx="9">
                        <c:v>0</c:v>
                      </c:pt>
                    </c:numCache>
                  </c:numRef>
                </c:val>
                <c:extLst xmlns:c15="http://schemas.microsoft.com/office/drawing/2012/chart">
                  <c:ext xmlns:c16="http://schemas.microsoft.com/office/drawing/2014/chart" uri="{C3380CC4-5D6E-409C-BE32-E72D297353CC}">
                    <c16:uniqueId val="{00000007-BA13-4430-AEAD-FBC1A105CA7E}"/>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'Edo - Uni'!$I$4:$I$5</c15:sqref>
                        </c15:formulaRef>
                      </c:ext>
                    </c:extLst>
                    <c:strCache>
                      <c:ptCount val="2"/>
                      <c:pt idx="0">
                        <c:v>2016</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'Edo - Uni'!$A$6:$A$46</c15:sqref>
                        </c15:formulaRef>
                      </c:ext>
                    </c:extLst>
                    <c:strCache>
                      <c:ptCount val="10"/>
                      <c:pt idx="0">
                        <c:v>Chile</c:v>
                      </c:pt>
                      <c:pt idx="1">
                        <c:v>Dinamarca</c:v>
                      </c:pt>
                      <c:pt idx="2">
                        <c:v>Alemania</c:v>
                      </c:pt>
                      <c:pt idx="3">
                        <c:v>Israel</c:v>
                      </c:pt>
                      <c:pt idx="4">
                        <c:v>Japan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Uni'!$I$6:$I$46</c15:sqref>
                        </c15:formulaRef>
                      </c:ext>
                    </c:extLst>
                    <c:numCache>
                      <c:formatCode>#,##0.00_ ;\-#,##0.00\ </c:formatCode>
                      <c:ptCount val="10"/>
                      <c:pt idx="0">
                        <c:v>59.945286812355903</c:v>
                      </c:pt>
                      <c:pt idx="1">
                        <c:v>1230.80845351792</c:v>
                      </c:pt>
                      <c:pt idx="2">
                        <c:v>15527.7918425717</c:v>
                      </c:pt>
                      <c:pt idx="3">
                        <c:v>990.60321231275998</c:v>
                      </c:pt>
                      <c:pt idx="4">
                        <c:v>12123.6700408134</c:v>
                      </c:pt>
                      <c:pt idx="5">
                        <c:v>0</c:v>
                      </c:pt>
                      <c:pt idx="6">
                        <c:v>2047.97360627701</c:v>
                      </c:pt>
                      <c:pt idx="7">
                        <c:v>2870.5542089802598</c:v>
                      </c:pt>
                      <c:pt idx="8">
                        <c:v>3178.7844490584098</c:v>
                      </c:pt>
                      <c:pt idx="9">
                        <c:v>0</c:v>
                      </c:pt>
                    </c:numCache>
                  </c:numRef>
                </c:val>
                <c:extLst xmlns:c15="http://schemas.microsoft.com/office/drawing/2012/chart">
                  <c:ext xmlns:c16="http://schemas.microsoft.com/office/drawing/2014/chart" uri="{C3380CC4-5D6E-409C-BE32-E72D297353CC}">
                    <c16:uniqueId val="{00000008-BA13-4430-AEAD-FBC1A105CA7E}"/>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'Edo - Uni'!$K$4:$K$5</c15:sqref>
                        </c15:formulaRef>
                      </c:ext>
                    </c:extLst>
                    <c:strCache>
                      <c:ptCount val="2"/>
                      <c:pt idx="0">
                        <c:v>2018</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'Edo - Uni'!$A$6:$A$46</c15:sqref>
                        </c15:formulaRef>
                      </c:ext>
                    </c:extLst>
                    <c:strCache>
                      <c:ptCount val="10"/>
                      <c:pt idx="0">
                        <c:v>Chile</c:v>
                      </c:pt>
                      <c:pt idx="1">
                        <c:v>Dinamarca</c:v>
                      </c:pt>
                      <c:pt idx="2">
                        <c:v>Alemania</c:v>
                      </c:pt>
                      <c:pt idx="3">
                        <c:v>Israel</c:v>
                      </c:pt>
                      <c:pt idx="4">
                        <c:v>Japan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Uni'!$K$6:$K$46</c15:sqref>
                        </c15:formulaRef>
                      </c:ext>
                    </c:extLst>
                    <c:numCache>
                      <c:formatCode>#,##0.00_ ;\-#,##0.00\ </c:formatCode>
                      <c:ptCount val="10"/>
                      <c:pt idx="0">
                        <c:v>0</c:v>
                      </c:pt>
                      <c:pt idx="1">
                        <c:v>1368.50010078372</c:v>
                      </c:pt>
                      <c:pt idx="2">
                        <c:v>16367.053739885499</c:v>
                      </c:pt>
                      <c:pt idx="3">
                        <c:v>0</c:v>
                      </c:pt>
                      <c:pt idx="4">
                        <c:v>10218.3973514725</c:v>
                      </c:pt>
                      <c:pt idx="5">
                        <c:v>0</c:v>
                      </c:pt>
                      <c:pt idx="6">
                        <c:v>0</c:v>
                      </c:pt>
                      <c:pt idx="7">
                        <c:v>0</c:v>
                      </c:pt>
                      <c:pt idx="8">
                        <c:v>0</c:v>
                      </c:pt>
                      <c:pt idx="9">
                        <c:v>0</c:v>
                      </c:pt>
                    </c:numCache>
                  </c:numRef>
                </c:val>
                <c:extLst xmlns:c15="http://schemas.microsoft.com/office/drawing/2012/chart">
                  <c:ext xmlns:c16="http://schemas.microsoft.com/office/drawing/2014/chart" uri="{C3380CC4-5D6E-409C-BE32-E72D297353CC}">
                    <c16:uniqueId val="{00000009-BA13-4430-AEAD-FBC1A105CA7E}"/>
                  </c:ext>
                </c:extLst>
              </c15:ser>
            </c15:filteredBarSeries>
          </c:ext>
        </c:extLst>
      </c:barChart>
      <c:catAx>
        <c:axId val="56667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66677968"/>
        <c:crosses val="autoZero"/>
        <c:auto val="1"/>
        <c:lblAlgn val="ctr"/>
        <c:lblOffset val="100"/>
        <c:noMultiLvlLbl val="0"/>
      </c:catAx>
      <c:valAx>
        <c:axId val="566677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800"/>
                  <a:t>Millones de dólares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numFmt formatCode="#,##0.00_ ;\-#,##0.00\ "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66673048"/>
        <c:crosses val="autoZero"/>
        <c:crossBetween val="between"/>
      </c:valAx>
      <c:spPr>
        <a:noFill/>
        <a:ln>
          <a:noFill/>
        </a:ln>
        <a:effectLst/>
      </c:spPr>
    </c:plotArea>
    <c:legend>
      <c:legendPos val="b"/>
      <c:layout>
        <c:manualLayout>
          <c:xMode val="edge"/>
          <c:yMode val="edge"/>
          <c:x val="0.2408848044136126"/>
          <c:y val="0.92394790273857275"/>
          <c:w val="0.57148146804230116"/>
          <c:h val="4.84419971421567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s-MX"/>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800" b="1">
                <a:solidFill>
                  <a:sysClr val="windowText" lastClr="000000"/>
                </a:solidFill>
              </a:rPr>
              <a:t>Programas diferentes de los fondos de investigación universitaria</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24844296729197807"/>
          <c:y val="0.16966502740252587"/>
          <c:w val="0.74523253998349359"/>
          <c:h val="0.42777621468680282"/>
        </c:manualLayout>
      </c:layout>
      <c:barChart>
        <c:barDir val="col"/>
        <c:grouping val="clustered"/>
        <c:varyColors val="0"/>
        <c:ser>
          <c:idx val="2"/>
          <c:order val="2"/>
          <c:tx>
            <c:strRef>
              <c:f>'Edo - dist'!$D$5:$D$6</c:f>
              <c:strCache>
                <c:ptCount val="2"/>
                <c:pt idx="0">
                  <c:v>2011</c:v>
                </c:pt>
              </c:strCache>
            </c:strRef>
          </c:tx>
          <c:spPr>
            <a:solidFill>
              <a:schemeClr val="accent3"/>
            </a:solidFill>
            <a:ln>
              <a:noFill/>
            </a:ln>
            <a:effectLst/>
          </c:spPr>
          <c:invertIfNegative val="0"/>
          <c:cat>
            <c:strRef>
              <c:f>'Edo - dist'!$A$7:$A$48</c:f>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f>'Edo - dist'!$D$7:$D$48</c:f>
              <c:numCache>
                <c:formatCode>#,##0.00_ ;\-#,##0.00\ </c:formatCode>
                <c:ptCount val="10"/>
                <c:pt idx="0">
                  <c:v>214.38811002790101</c:v>
                </c:pt>
                <c:pt idx="1">
                  <c:v>429.42519805817898</c:v>
                </c:pt>
                <c:pt idx="2">
                  <c:v>4874.2586468693298</c:v>
                </c:pt>
                <c:pt idx="3">
                  <c:v>60.789451983021898</c:v>
                </c:pt>
                <c:pt idx="4">
                  <c:v>7116.2543804571496</c:v>
                </c:pt>
                <c:pt idx="5">
                  <c:v>4037.7123233400198</c:v>
                </c:pt>
                <c:pt idx="6">
                  <c:v>888.53453220949996</c:v>
                </c:pt>
                <c:pt idx="7">
                  <c:v>1998.98665091519</c:v>
                </c:pt>
                <c:pt idx="8">
                  <c:v>2369.5137427087798</c:v>
                </c:pt>
                <c:pt idx="9">
                  <c:v>10581</c:v>
                </c:pt>
              </c:numCache>
            </c:numRef>
          </c:val>
          <c:extLst>
            <c:ext xmlns:c16="http://schemas.microsoft.com/office/drawing/2014/chart" uri="{C3380CC4-5D6E-409C-BE32-E72D297353CC}">
              <c16:uniqueId val="{00000000-7759-4582-AFAE-A57512D2EE8F}"/>
            </c:ext>
          </c:extLst>
        </c:ser>
        <c:ser>
          <c:idx val="5"/>
          <c:order val="5"/>
          <c:tx>
            <c:strRef>
              <c:f>'Edo - dist'!$G$5:$G$6</c:f>
              <c:strCache>
                <c:ptCount val="2"/>
                <c:pt idx="0">
                  <c:v>2014</c:v>
                </c:pt>
              </c:strCache>
            </c:strRef>
          </c:tx>
          <c:spPr>
            <a:solidFill>
              <a:schemeClr val="accent6"/>
            </a:solidFill>
            <a:ln>
              <a:noFill/>
            </a:ln>
            <a:effectLst/>
          </c:spPr>
          <c:invertIfNegative val="0"/>
          <c:cat>
            <c:strRef>
              <c:f>'Edo - dist'!$A$7:$A$48</c:f>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f>'Edo - dist'!$G$7:$G$48</c:f>
              <c:numCache>
                <c:formatCode>#,##0.00_ ;\-#,##0.00\ </c:formatCode>
                <c:ptCount val="10"/>
                <c:pt idx="0">
                  <c:v>365.39031894666999</c:v>
                </c:pt>
                <c:pt idx="1">
                  <c:v>464.85896764702801</c:v>
                </c:pt>
                <c:pt idx="2">
                  <c:v>5679.1802414732001</c:v>
                </c:pt>
                <c:pt idx="3">
                  <c:v>60.222506997333198</c:v>
                </c:pt>
                <c:pt idx="4">
                  <c:v>7562.2736605519704</c:v>
                </c:pt>
                <c:pt idx="5">
                  <c:v>4358.6232346890401</c:v>
                </c:pt>
                <c:pt idx="6">
                  <c:v>1706.6951497902401</c:v>
                </c:pt>
                <c:pt idx="7">
                  <c:v>2041.2159744175301</c:v>
                </c:pt>
                <c:pt idx="8">
                  <c:v>1745.5957225391001</c:v>
                </c:pt>
                <c:pt idx="9">
                  <c:v>10524</c:v>
                </c:pt>
              </c:numCache>
            </c:numRef>
          </c:val>
          <c:extLst>
            <c:ext xmlns:c16="http://schemas.microsoft.com/office/drawing/2014/chart" uri="{C3380CC4-5D6E-409C-BE32-E72D297353CC}">
              <c16:uniqueId val="{00000001-7759-4582-AFAE-A57512D2EE8F}"/>
            </c:ext>
          </c:extLst>
        </c:ser>
        <c:ser>
          <c:idx val="8"/>
          <c:order val="8"/>
          <c:tx>
            <c:strRef>
              <c:f>'Edo - dist'!$J$5:$J$6</c:f>
              <c:strCache>
                <c:ptCount val="2"/>
                <c:pt idx="0">
                  <c:v>2017</c:v>
                </c:pt>
              </c:strCache>
            </c:strRef>
          </c:tx>
          <c:spPr>
            <a:solidFill>
              <a:schemeClr val="accent3">
                <a:lumMod val="60000"/>
              </a:schemeClr>
            </a:solidFill>
            <a:ln>
              <a:noFill/>
            </a:ln>
            <a:effectLst/>
          </c:spPr>
          <c:invertIfNegative val="0"/>
          <c:cat>
            <c:strRef>
              <c:f>'Edo - dist'!$A$7:$A$48</c:f>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f>'Edo - dist'!$J$7:$J$48</c:f>
              <c:numCache>
                <c:formatCode>#,##0.00_ ;\-#,##0.00\ </c:formatCode>
                <c:ptCount val="10"/>
                <c:pt idx="0">
                  <c:v>489.93942253747798</c:v>
                </c:pt>
                <c:pt idx="1">
                  <c:v>352.68894609664198</c:v>
                </c:pt>
                <c:pt idx="2">
                  <c:v>6409.1865368574099</c:v>
                </c:pt>
                <c:pt idx="3">
                  <c:v>57.473805070248503</c:v>
                </c:pt>
                <c:pt idx="4">
                  <c:v>7214.1149287429498</c:v>
                </c:pt>
                <c:pt idx="5">
                  <c:v>4450.3296559986702</c:v>
                </c:pt>
                <c:pt idx="6">
                  <c:v>1126.51189166631</c:v>
                </c:pt>
                <c:pt idx="7">
                  <c:v>1631.6621944278099</c:v>
                </c:pt>
                <c:pt idx="8">
                  <c:v>1675.6165596450001</c:v>
                </c:pt>
                <c:pt idx="9">
                  <c:v>11289</c:v>
                </c:pt>
              </c:numCache>
            </c:numRef>
          </c:val>
          <c:extLst>
            <c:ext xmlns:c16="http://schemas.microsoft.com/office/drawing/2014/chart" uri="{C3380CC4-5D6E-409C-BE32-E72D297353CC}">
              <c16:uniqueId val="{00000002-7759-4582-AFAE-A57512D2EE8F}"/>
            </c:ext>
          </c:extLst>
        </c:ser>
        <c:dLbls>
          <c:showLegendKey val="0"/>
          <c:showVal val="0"/>
          <c:showCatName val="0"/>
          <c:showSerName val="0"/>
          <c:showPercent val="0"/>
          <c:showBubbleSize val="0"/>
        </c:dLbls>
        <c:gapWidth val="219"/>
        <c:overlap val="-27"/>
        <c:axId val="426136720"/>
        <c:axId val="426132128"/>
        <c:extLst>
          <c:ext xmlns:c15="http://schemas.microsoft.com/office/drawing/2012/chart" uri="{02D57815-91ED-43cb-92C2-25804820EDAC}">
            <c15:filteredBarSeries>
              <c15:ser>
                <c:idx val="0"/>
                <c:order val="0"/>
                <c:tx>
                  <c:strRef>
                    <c:extLst>
                      <c:ext uri="{02D57815-91ED-43cb-92C2-25804820EDAC}">
                        <c15:formulaRef>
                          <c15:sqref>'Edo - dist'!$B$5:$B$6</c15:sqref>
                        </c15:formulaRef>
                      </c:ext>
                    </c:extLst>
                    <c:strCache>
                      <c:ptCount val="2"/>
                      <c:pt idx="0">
                        <c:v>Year</c:v>
                      </c:pt>
                      <c:pt idx="1">
                        <c:v>Country</c:v>
                      </c:pt>
                    </c:strCache>
                  </c:strRef>
                </c:tx>
                <c:spPr>
                  <a:solidFill>
                    <a:schemeClr val="accent1"/>
                  </a:solidFill>
                  <a:ln>
                    <a:noFill/>
                  </a:ln>
                  <a:effectLst/>
                </c:spPr>
                <c:invertIfNegative val="0"/>
                <c:cat>
                  <c:strRef>
                    <c:extLst>
                      <c:ext uri="{02D57815-91ED-43cb-92C2-25804820EDAC}">
                        <c15:formulaRef>
                          <c15:sqref>'Edo - dist'!$A$7:$A$48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c:ext uri="{02D57815-91ED-43cb-92C2-25804820EDAC}">
                        <c15:formulaRef>
                          <c15:sqref>'Edo - dist'!$B$7:$B$48</c15:sqref>
                        </c15:formulaRef>
                      </c:ext>
                    </c:extLst>
                    <c:numCache>
                      <c:formatCode>General</c:formatCode>
                      <c:ptCount val="10"/>
                    </c:numCache>
                  </c:numRef>
                </c:val>
                <c:extLst>
                  <c:ext xmlns:c16="http://schemas.microsoft.com/office/drawing/2014/chart" uri="{C3380CC4-5D6E-409C-BE32-E72D297353CC}">
                    <c16:uniqueId val="{00000003-7759-4582-AFAE-A57512D2EE8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'Edo - dist'!$C$5:$C$6</c15:sqref>
                        </c15:formulaRef>
                      </c:ext>
                    </c:extLst>
                    <c:strCache>
                      <c:ptCount val="2"/>
                      <c:pt idx="0">
                        <c:v>Year</c:v>
                      </c:pt>
                      <c:pt idx="1">
                        <c:v>Country</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'Edo - dist'!$A$7:$A$48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dist'!$C$7:$C$48</c15:sqref>
                        </c15:formulaRef>
                      </c:ext>
                    </c:extLst>
                    <c:numCache>
                      <c:formatCode>General</c:formatCode>
                      <c:ptCount val="10"/>
                      <c:pt idx="0">
                        <c:v>0</c:v>
                      </c:pt>
                      <c:pt idx="1">
                        <c:v>0</c:v>
                      </c:pt>
                      <c:pt idx="2">
                        <c:v>0</c:v>
                      </c:pt>
                      <c:pt idx="3">
                        <c:v>0</c:v>
                      </c:pt>
                      <c:pt idx="4">
                        <c:v>0</c:v>
                      </c:pt>
                      <c:pt idx="5">
                        <c:v>0</c:v>
                      </c:pt>
                      <c:pt idx="6">
                        <c:v>0</c:v>
                      </c:pt>
                      <c:pt idx="7">
                        <c:v>0</c:v>
                      </c:pt>
                      <c:pt idx="8">
                        <c:v>0</c:v>
                      </c:pt>
                      <c:pt idx="9">
                        <c:v>0</c:v>
                      </c:pt>
                    </c:numCache>
                  </c:numRef>
                </c:val>
                <c:extLst xmlns:c15="http://schemas.microsoft.com/office/drawing/2012/chart">
                  <c:ext xmlns:c16="http://schemas.microsoft.com/office/drawing/2014/chart" uri="{C3380CC4-5D6E-409C-BE32-E72D297353CC}">
                    <c16:uniqueId val="{00000004-7759-4582-AFAE-A57512D2EE8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'Edo - dist'!$E$5:$E$6</c15:sqref>
                        </c15:formulaRef>
                      </c:ext>
                    </c:extLst>
                    <c:strCache>
                      <c:ptCount val="2"/>
                      <c:pt idx="0">
                        <c:v>2012</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'Edo - dist'!$A$7:$A$48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dist'!$E$7:$E$48</c15:sqref>
                        </c15:formulaRef>
                      </c:ext>
                    </c:extLst>
                    <c:numCache>
                      <c:formatCode>#,##0.00_ ;\-#,##0.00\ </c:formatCode>
                      <c:ptCount val="10"/>
                      <c:pt idx="0">
                        <c:v>315.92798926383301</c:v>
                      </c:pt>
                      <c:pt idx="1">
                        <c:v>410.06663630036297</c:v>
                      </c:pt>
                      <c:pt idx="2">
                        <c:v>5272.0445022438798</c:v>
                      </c:pt>
                      <c:pt idx="3">
                        <c:v>59.185533577902</c:v>
                      </c:pt>
                      <c:pt idx="4">
                        <c:v>7465.2474014028203</c:v>
                      </c:pt>
                      <c:pt idx="5">
                        <c:v>4647.8154254958899</c:v>
                      </c:pt>
                      <c:pt idx="6">
                        <c:v>915.02461454556101</c:v>
                      </c:pt>
                      <c:pt idx="7">
                        <c:v>2297.08391012123</c:v>
                      </c:pt>
                      <c:pt idx="8">
                        <c:v>2309.7517678305699</c:v>
                      </c:pt>
                      <c:pt idx="9">
                        <c:v>10536</c:v>
                      </c:pt>
                    </c:numCache>
                  </c:numRef>
                </c:val>
                <c:extLst xmlns:c15="http://schemas.microsoft.com/office/drawing/2012/chart">
                  <c:ext xmlns:c16="http://schemas.microsoft.com/office/drawing/2014/chart" uri="{C3380CC4-5D6E-409C-BE32-E72D297353CC}">
                    <c16:uniqueId val="{00000005-7759-4582-AFAE-A57512D2EE8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'Edo - dist'!$F$5:$F$6</c15:sqref>
                        </c15:formulaRef>
                      </c:ext>
                    </c:extLst>
                    <c:strCache>
                      <c:ptCount val="2"/>
                      <c:pt idx="0">
                        <c:v>2013</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'Edo - dist'!$A$7:$A$48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dist'!$F$7:$F$48</c15:sqref>
                        </c15:formulaRef>
                      </c:ext>
                    </c:extLst>
                    <c:numCache>
                      <c:formatCode>#,##0.00_ ;\-#,##0.00\ </c:formatCode>
                      <c:ptCount val="10"/>
                      <c:pt idx="0">
                        <c:v>351.02856242358502</c:v>
                      </c:pt>
                      <c:pt idx="1">
                        <c:v>312.59663395321797</c:v>
                      </c:pt>
                      <c:pt idx="2">
                        <c:v>5590.2516881613101</c:v>
                      </c:pt>
                      <c:pt idx="3">
                        <c:v>75.060567171220001</c:v>
                      </c:pt>
                      <c:pt idx="4">
                        <c:v>7366.2222339371701</c:v>
                      </c:pt>
                      <c:pt idx="5">
                        <c:v>4098.1190662587196</c:v>
                      </c:pt>
                      <c:pt idx="6">
                        <c:v>1253.7029258704099</c:v>
                      </c:pt>
                      <c:pt idx="7">
                        <c:v>1790.5349645650299</c:v>
                      </c:pt>
                      <c:pt idx="8">
                        <c:v>1857.17908779238</c:v>
                      </c:pt>
                      <c:pt idx="9">
                        <c:v>9620</c:v>
                      </c:pt>
                    </c:numCache>
                  </c:numRef>
                </c:val>
                <c:extLst xmlns:c15="http://schemas.microsoft.com/office/drawing/2012/chart">
                  <c:ext xmlns:c16="http://schemas.microsoft.com/office/drawing/2014/chart" uri="{C3380CC4-5D6E-409C-BE32-E72D297353CC}">
                    <c16:uniqueId val="{00000006-7759-4582-AFAE-A57512D2EE8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'Edo - dist'!$H$5:$H$6</c15:sqref>
                        </c15:formulaRef>
                      </c:ext>
                    </c:extLst>
                    <c:strCache>
                      <c:ptCount val="2"/>
                      <c:pt idx="0">
                        <c:v>2015</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'Edo - dist'!$A$7:$A$48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dist'!$H$7:$H$48</c15:sqref>
                        </c15:formulaRef>
                      </c:ext>
                    </c:extLst>
                    <c:numCache>
                      <c:formatCode>#,##0.00_ ;\-#,##0.00\ </c:formatCode>
                      <c:ptCount val="10"/>
                      <c:pt idx="0">
                        <c:v>343.109611007826</c:v>
                      </c:pt>
                      <c:pt idx="1">
                        <c:v>455.84266588798602</c:v>
                      </c:pt>
                      <c:pt idx="2">
                        <c:v>5945.7659411557597</c:v>
                      </c:pt>
                      <c:pt idx="3">
                        <c:v>56.190884007785002</c:v>
                      </c:pt>
                      <c:pt idx="4">
                        <c:v>7398.0177268422804</c:v>
                      </c:pt>
                      <c:pt idx="5">
                        <c:v>4598.5853125555004</c:v>
                      </c:pt>
                      <c:pt idx="6">
                        <c:v>1718.17920117581</c:v>
                      </c:pt>
                      <c:pt idx="7">
                        <c:v>2001.75628533043</c:v>
                      </c:pt>
                      <c:pt idx="8">
                        <c:v>1687.69289365688</c:v>
                      </c:pt>
                      <c:pt idx="9">
                        <c:v>11088</c:v>
                      </c:pt>
                    </c:numCache>
                  </c:numRef>
                </c:val>
                <c:extLst xmlns:c15="http://schemas.microsoft.com/office/drawing/2012/chart">
                  <c:ext xmlns:c16="http://schemas.microsoft.com/office/drawing/2014/chart" uri="{C3380CC4-5D6E-409C-BE32-E72D297353CC}">
                    <c16:uniqueId val="{00000007-7759-4582-AFAE-A57512D2EE8F}"/>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'Edo - dist'!$I$5:$I$6</c15:sqref>
                        </c15:formulaRef>
                      </c:ext>
                    </c:extLst>
                    <c:strCache>
                      <c:ptCount val="2"/>
                      <c:pt idx="0">
                        <c:v>2016</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'Edo - dist'!$A$7:$A$48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dist'!$I$7:$I$48</c15:sqref>
                        </c15:formulaRef>
                      </c:ext>
                    </c:extLst>
                    <c:numCache>
                      <c:formatCode>#,##0.00_ ;\-#,##0.00\ </c:formatCode>
                      <c:ptCount val="10"/>
                      <c:pt idx="0">
                        <c:v>436.75940069872701</c:v>
                      </c:pt>
                      <c:pt idx="1">
                        <c:v>402.64211571818998</c:v>
                      </c:pt>
                      <c:pt idx="2">
                        <c:v>6089.0768146816799</c:v>
                      </c:pt>
                      <c:pt idx="3">
                        <c:v>64.583534408718293</c:v>
                      </c:pt>
                      <c:pt idx="4">
                        <c:v>7170.7830211127903</c:v>
                      </c:pt>
                      <c:pt idx="5">
                        <c:v>4543.89485734352</c:v>
                      </c:pt>
                      <c:pt idx="6">
                        <c:v>1477.87690160336</c:v>
                      </c:pt>
                      <c:pt idx="7">
                        <c:v>1825.14736848079</c:v>
                      </c:pt>
                      <c:pt idx="8">
                        <c:v>1700.3233280964</c:v>
                      </c:pt>
                      <c:pt idx="9">
                        <c:v>11328</c:v>
                      </c:pt>
                    </c:numCache>
                  </c:numRef>
                </c:val>
                <c:extLst xmlns:c15="http://schemas.microsoft.com/office/drawing/2012/chart">
                  <c:ext xmlns:c16="http://schemas.microsoft.com/office/drawing/2014/chart" uri="{C3380CC4-5D6E-409C-BE32-E72D297353CC}">
                    <c16:uniqueId val="{00000008-7759-4582-AFAE-A57512D2EE8F}"/>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'Edo - dist'!$K$5:$K$6</c15:sqref>
                        </c15:formulaRef>
                      </c:ext>
                    </c:extLst>
                    <c:strCache>
                      <c:ptCount val="2"/>
                      <c:pt idx="0">
                        <c:v>2018</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'Edo - dist'!$A$7:$A$48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dist'!$K$7:$K$48</c15:sqref>
                        </c15:formulaRef>
                      </c:ext>
                    </c:extLst>
                    <c:numCache>
                      <c:formatCode>#,##0.00_ ;\-#,##0.00\ </c:formatCode>
                      <c:ptCount val="10"/>
                      <c:pt idx="0">
                        <c:v>0</c:v>
                      </c:pt>
                      <c:pt idx="1">
                        <c:v>407.52723590273399</c:v>
                      </c:pt>
                      <c:pt idx="2">
                        <c:v>6645.6199835882499</c:v>
                      </c:pt>
                      <c:pt idx="3">
                        <c:v>0</c:v>
                      </c:pt>
                      <c:pt idx="4">
                        <c:v>7917.3738528748499</c:v>
                      </c:pt>
                      <c:pt idx="5">
                        <c:v>0</c:v>
                      </c:pt>
                      <c:pt idx="6">
                        <c:v>0</c:v>
                      </c:pt>
                      <c:pt idx="7">
                        <c:v>0</c:v>
                      </c:pt>
                      <c:pt idx="8">
                        <c:v>0</c:v>
                      </c:pt>
                      <c:pt idx="9">
                        <c:v>11337</c:v>
                      </c:pt>
                    </c:numCache>
                  </c:numRef>
                </c:val>
                <c:extLst xmlns:c15="http://schemas.microsoft.com/office/drawing/2012/chart">
                  <c:ext xmlns:c16="http://schemas.microsoft.com/office/drawing/2014/chart" uri="{C3380CC4-5D6E-409C-BE32-E72D297353CC}">
                    <c16:uniqueId val="{00000009-7759-4582-AFAE-A57512D2EE8F}"/>
                  </c:ext>
                </c:extLst>
              </c15:ser>
            </c15:filteredBarSeries>
          </c:ext>
        </c:extLst>
      </c:barChart>
      <c:catAx>
        <c:axId val="42613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26132128"/>
        <c:crosses val="autoZero"/>
        <c:auto val="1"/>
        <c:lblAlgn val="ctr"/>
        <c:lblOffset val="100"/>
        <c:noMultiLvlLbl val="0"/>
      </c:catAx>
      <c:valAx>
        <c:axId val="42613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800"/>
                  <a:t>Millones de dólares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numFmt formatCode="#,##0.00_ ;\-#,##0.00\ "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26136720"/>
        <c:crosses val="autoZero"/>
        <c:crossBetween val="between"/>
      </c:valAx>
      <c:spPr>
        <a:noFill/>
        <a:ln>
          <a:noFill/>
        </a:ln>
        <a:effectLst/>
      </c:spPr>
    </c:plotArea>
    <c:legend>
      <c:legendPos val="b"/>
      <c:layout>
        <c:manualLayout>
          <c:xMode val="edge"/>
          <c:yMode val="edge"/>
          <c:x val="0.1946531046225454"/>
          <c:y val="0.91296181082548378"/>
          <c:w val="0.63813796860298122"/>
          <c:h val="5.46684749239250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800" b="1">
                <a:solidFill>
                  <a:sysClr val="windowText" lastClr="000000"/>
                </a:solidFill>
              </a:rPr>
              <a:t>Programas de desarrollo económico</a:t>
            </a:r>
          </a:p>
        </c:rich>
      </c:tx>
      <c:overlay val="0"/>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2220029295204955"/>
          <c:y val="0.13168297444356755"/>
          <c:w val="0.7779970704795045"/>
          <c:h val="0.45862000641968076"/>
        </c:manualLayout>
      </c:layout>
      <c:barChart>
        <c:barDir val="col"/>
        <c:grouping val="clustered"/>
        <c:varyColors val="0"/>
        <c:ser>
          <c:idx val="2"/>
          <c:order val="2"/>
          <c:tx>
            <c:strRef>
              <c:f>'Edo - des eco'!$D$5:$D$6</c:f>
              <c:strCache>
                <c:ptCount val="2"/>
                <c:pt idx="0">
                  <c:v>2011</c:v>
                </c:pt>
              </c:strCache>
            </c:strRef>
          </c:tx>
          <c:spPr>
            <a:solidFill>
              <a:schemeClr val="accent3"/>
            </a:solidFill>
            <a:ln>
              <a:noFill/>
            </a:ln>
            <a:effectLst/>
          </c:spPr>
          <c:invertIfNegative val="0"/>
          <c:cat>
            <c:strRef>
              <c:f>'Edo - des eco'!$A$7:$A$48</c:f>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f>'Edo - des eco'!$D$7:$D$48</c:f>
              <c:numCache>
                <c:formatCode>#,##0.00_ ;\-#,##0.00\ </c:formatCode>
                <c:ptCount val="10"/>
                <c:pt idx="0">
                  <c:v>198.214542125826</c:v>
                </c:pt>
                <c:pt idx="1">
                  <c:v>480.52014022179299</c:v>
                </c:pt>
                <c:pt idx="2">
                  <c:v>7117.7662299579497</c:v>
                </c:pt>
                <c:pt idx="3">
                  <c:v>565.12896290972003</c:v>
                </c:pt>
                <c:pt idx="4">
                  <c:v>8957.5304804537409</c:v>
                </c:pt>
                <c:pt idx="5">
                  <c:v>8050.1721168702898</c:v>
                </c:pt>
                <c:pt idx="6">
                  <c:v>2001.1660543620501</c:v>
                </c:pt>
                <c:pt idx="7">
                  <c:v>2390.3115906234598</c:v>
                </c:pt>
                <c:pt idx="8">
                  <c:v>1011.54017635542</c:v>
                </c:pt>
                <c:pt idx="9">
                  <c:v>6526</c:v>
                </c:pt>
              </c:numCache>
            </c:numRef>
          </c:val>
          <c:extLst>
            <c:ext xmlns:c16="http://schemas.microsoft.com/office/drawing/2014/chart" uri="{C3380CC4-5D6E-409C-BE32-E72D297353CC}">
              <c16:uniqueId val="{00000000-AC4C-4637-91B4-7CC099220A29}"/>
            </c:ext>
          </c:extLst>
        </c:ser>
        <c:ser>
          <c:idx val="5"/>
          <c:order val="5"/>
          <c:tx>
            <c:strRef>
              <c:f>'Edo - des eco'!$G$5:$G$6</c:f>
              <c:strCache>
                <c:ptCount val="2"/>
                <c:pt idx="0">
                  <c:v>2014</c:v>
                </c:pt>
              </c:strCache>
            </c:strRef>
          </c:tx>
          <c:spPr>
            <a:solidFill>
              <a:schemeClr val="accent6"/>
            </a:solidFill>
            <a:ln>
              <a:noFill/>
            </a:ln>
            <a:effectLst/>
          </c:spPr>
          <c:invertIfNegative val="0"/>
          <c:cat>
            <c:strRef>
              <c:f>'Edo - des eco'!$A$7:$A$48</c:f>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f>'Edo - des eco'!$G$7:$G$48</c:f>
              <c:numCache>
                <c:formatCode>#,##0.00_ ;\-#,##0.00\ </c:formatCode>
                <c:ptCount val="10"/>
                <c:pt idx="0">
                  <c:v>188.930175630088</c:v>
                </c:pt>
                <c:pt idx="1">
                  <c:v>382.98877257006001</c:v>
                </c:pt>
                <c:pt idx="2">
                  <c:v>7092.9637535304</c:v>
                </c:pt>
                <c:pt idx="3">
                  <c:v>669.02053496152405</c:v>
                </c:pt>
                <c:pt idx="4">
                  <c:v>8642.0772348147602</c:v>
                </c:pt>
                <c:pt idx="5">
                  <c:v>8938.6834767843902</c:v>
                </c:pt>
                <c:pt idx="6">
                  <c:v>2437.5375529808298</c:v>
                </c:pt>
                <c:pt idx="7">
                  <c:v>1662.3174287803799</c:v>
                </c:pt>
                <c:pt idx="8">
                  <c:v>1939.7417034907901</c:v>
                </c:pt>
                <c:pt idx="9">
                  <c:v>6868</c:v>
                </c:pt>
              </c:numCache>
            </c:numRef>
          </c:val>
          <c:extLst>
            <c:ext xmlns:c16="http://schemas.microsoft.com/office/drawing/2014/chart" uri="{C3380CC4-5D6E-409C-BE32-E72D297353CC}">
              <c16:uniqueId val="{00000001-AC4C-4637-91B4-7CC099220A29}"/>
            </c:ext>
          </c:extLst>
        </c:ser>
        <c:ser>
          <c:idx val="8"/>
          <c:order val="8"/>
          <c:tx>
            <c:strRef>
              <c:f>'Edo - des eco'!$J$5:$J$6</c:f>
              <c:strCache>
                <c:ptCount val="2"/>
                <c:pt idx="0">
                  <c:v>2017</c:v>
                </c:pt>
              </c:strCache>
            </c:strRef>
          </c:tx>
          <c:spPr>
            <a:solidFill>
              <a:schemeClr val="accent3">
                <a:lumMod val="60000"/>
              </a:schemeClr>
            </a:solidFill>
            <a:ln>
              <a:noFill/>
            </a:ln>
            <a:effectLst/>
          </c:spPr>
          <c:invertIfNegative val="0"/>
          <c:cat>
            <c:strRef>
              <c:f>'Edo - des eco'!$A$7:$A$48</c:f>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f>'Edo - des eco'!$J$7:$J$48</c:f>
              <c:numCache>
                <c:formatCode>#,##0.00_ ;\-#,##0.00\ </c:formatCode>
                <c:ptCount val="10"/>
                <c:pt idx="0">
                  <c:v>235.93079400804399</c:v>
                </c:pt>
                <c:pt idx="1">
                  <c:v>384.945151413958</c:v>
                </c:pt>
                <c:pt idx="2">
                  <c:v>8322.9484929619193</c:v>
                </c:pt>
                <c:pt idx="3">
                  <c:v>782.84755617927897</c:v>
                </c:pt>
                <c:pt idx="4">
                  <c:v>8527.7434901413599</c:v>
                </c:pt>
                <c:pt idx="5">
                  <c:v>9442.0191478090601</c:v>
                </c:pt>
                <c:pt idx="6">
                  <c:v>1888.2209471758399</c:v>
                </c:pt>
                <c:pt idx="7">
                  <c:v>2032.4048046314199</c:v>
                </c:pt>
                <c:pt idx="8">
                  <c:v>2983.2630924180498</c:v>
                </c:pt>
                <c:pt idx="9">
                  <c:v>8548</c:v>
                </c:pt>
              </c:numCache>
            </c:numRef>
          </c:val>
          <c:extLst>
            <c:ext xmlns:c16="http://schemas.microsoft.com/office/drawing/2014/chart" uri="{C3380CC4-5D6E-409C-BE32-E72D297353CC}">
              <c16:uniqueId val="{00000002-AC4C-4637-91B4-7CC099220A29}"/>
            </c:ext>
          </c:extLst>
        </c:ser>
        <c:dLbls>
          <c:showLegendKey val="0"/>
          <c:showVal val="0"/>
          <c:showCatName val="0"/>
          <c:showSerName val="0"/>
          <c:showPercent val="0"/>
          <c:showBubbleSize val="0"/>
        </c:dLbls>
        <c:gapWidth val="219"/>
        <c:overlap val="-27"/>
        <c:axId val="298460464"/>
        <c:axId val="298460792"/>
        <c:extLst>
          <c:ext xmlns:c15="http://schemas.microsoft.com/office/drawing/2012/chart" uri="{02D57815-91ED-43cb-92C2-25804820EDAC}">
            <c15:filteredBarSeries>
              <c15:ser>
                <c:idx val="0"/>
                <c:order val="0"/>
                <c:tx>
                  <c:strRef>
                    <c:extLst>
                      <c:ext uri="{02D57815-91ED-43cb-92C2-25804820EDAC}">
                        <c15:formulaRef>
                          <c15:sqref>'Edo - des eco'!$B$5:$B$6</c15:sqref>
                        </c15:formulaRef>
                      </c:ext>
                    </c:extLst>
                    <c:strCache>
                      <c:ptCount val="2"/>
                      <c:pt idx="0">
                        <c:v>Year</c:v>
                      </c:pt>
                      <c:pt idx="1">
                        <c:v>Country</c:v>
                      </c:pt>
                    </c:strCache>
                  </c:strRef>
                </c:tx>
                <c:spPr>
                  <a:solidFill>
                    <a:schemeClr val="accent1"/>
                  </a:solidFill>
                  <a:ln>
                    <a:noFill/>
                  </a:ln>
                  <a:effectLst/>
                </c:spPr>
                <c:invertIfNegative val="0"/>
                <c:cat>
                  <c:strRef>
                    <c:extLst>
                      <c:ext uri="{02D57815-91ED-43cb-92C2-25804820EDAC}">
                        <c15:formulaRef>
                          <c15:sqref>'Edo - des eco'!$A$7:$A$48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c:ext uri="{02D57815-91ED-43cb-92C2-25804820EDAC}">
                        <c15:formulaRef>
                          <c15:sqref>'Edo - des eco'!$B$7:$B$48</c15:sqref>
                        </c15:formulaRef>
                      </c:ext>
                    </c:extLst>
                    <c:numCache>
                      <c:formatCode>General</c:formatCode>
                      <c:ptCount val="10"/>
                    </c:numCache>
                  </c:numRef>
                </c:val>
                <c:extLst>
                  <c:ext xmlns:c16="http://schemas.microsoft.com/office/drawing/2014/chart" uri="{C3380CC4-5D6E-409C-BE32-E72D297353CC}">
                    <c16:uniqueId val="{00000003-AC4C-4637-91B4-7CC099220A2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'Edo - des eco'!$C$5:$C$6</c15:sqref>
                        </c15:formulaRef>
                      </c:ext>
                    </c:extLst>
                    <c:strCache>
                      <c:ptCount val="2"/>
                      <c:pt idx="0">
                        <c:v>Year</c:v>
                      </c:pt>
                      <c:pt idx="1">
                        <c:v>Country</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'Edo - des eco'!$A$7:$A$48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des eco'!$C$7:$C$48</c15:sqref>
                        </c15:formulaRef>
                      </c:ext>
                    </c:extLst>
                    <c:numCache>
                      <c:formatCode>General</c:formatCode>
                      <c:ptCount val="10"/>
                      <c:pt idx="0">
                        <c:v>0</c:v>
                      </c:pt>
                      <c:pt idx="1">
                        <c:v>0</c:v>
                      </c:pt>
                      <c:pt idx="2">
                        <c:v>0</c:v>
                      </c:pt>
                      <c:pt idx="3">
                        <c:v>0</c:v>
                      </c:pt>
                      <c:pt idx="4">
                        <c:v>0</c:v>
                      </c:pt>
                      <c:pt idx="5">
                        <c:v>0</c:v>
                      </c:pt>
                      <c:pt idx="6">
                        <c:v>0</c:v>
                      </c:pt>
                      <c:pt idx="7">
                        <c:v>0</c:v>
                      </c:pt>
                      <c:pt idx="8">
                        <c:v>0</c:v>
                      </c:pt>
                      <c:pt idx="9">
                        <c:v>0</c:v>
                      </c:pt>
                    </c:numCache>
                  </c:numRef>
                </c:val>
                <c:extLst xmlns:c15="http://schemas.microsoft.com/office/drawing/2012/chart">
                  <c:ext xmlns:c16="http://schemas.microsoft.com/office/drawing/2014/chart" uri="{C3380CC4-5D6E-409C-BE32-E72D297353CC}">
                    <c16:uniqueId val="{00000004-AC4C-4637-91B4-7CC099220A2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'Edo - des eco'!$E$5:$E$6</c15:sqref>
                        </c15:formulaRef>
                      </c:ext>
                    </c:extLst>
                    <c:strCache>
                      <c:ptCount val="2"/>
                      <c:pt idx="0">
                        <c:v>2012</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'Edo - des eco'!$A$7:$A$48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des eco'!$E$7:$E$48</c15:sqref>
                        </c15:formulaRef>
                      </c:ext>
                    </c:extLst>
                    <c:numCache>
                      <c:formatCode>#,##0.00_ ;\-#,##0.00\ </c:formatCode>
                      <c:ptCount val="10"/>
                      <c:pt idx="0">
                        <c:v>181.868708199661</c:v>
                      </c:pt>
                      <c:pt idx="1">
                        <c:v>424.19911531916102</c:v>
                      </c:pt>
                      <c:pt idx="2">
                        <c:v>6552.1181516100896</c:v>
                      </c:pt>
                      <c:pt idx="3">
                        <c:v>631.32078555052999</c:v>
                      </c:pt>
                      <c:pt idx="4">
                        <c:v>8541.1726551642805</c:v>
                      </c:pt>
                      <c:pt idx="5">
                        <c:v>8375.8938354428992</c:v>
                      </c:pt>
                      <c:pt idx="6">
                        <c:v>2110.2331807127998</c:v>
                      </c:pt>
                      <c:pt idx="7">
                        <c:v>1728.9114033256101</c:v>
                      </c:pt>
                      <c:pt idx="8">
                        <c:v>1052.82835424932</c:v>
                      </c:pt>
                      <c:pt idx="9">
                        <c:v>6765</c:v>
                      </c:pt>
                    </c:numCache>
                  </c:numRef>
                </c:val>
                <c:extLst xmlns:c15="http://schemas.microsoft.com/office/drawing/2012/chart">
                  <c:ext xmlns:c16="http://schemas.microsoft.com/office/drawing/2014/chart" uri="{C3380CC4-5D6E-409C-BE32-E72D297353CC}">
                    <c16:uniqueId val="{00000005-AC4C-4637-91B4-7CC099220A2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'Edo - des eco'!$F$5:$F$6</c15:sqref>
                        </c15:formulaRef>
                      </c:ext>
                    </c:extLst>
                    <c:strCache>
                      <c:ptCount val="2"/>
                      <c:pt idx="0">
                        <c:v>2013</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'Edo - des eco'!$A$7:$A$48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des eco'!$F$7:$F$48</c15:sqref>
                        </c15:formulaRef>
                      </c:ext>
                    </c:extLst>
                    <c:numCache>
                      <c:formatCode>#,##0.00_ ;\-#,##0.00\ </c:formatCode>
                      <c:ptCount val="10"/>
                      <c:pt idx="0">
                        <c:v>206.32925910828601</c:v>
                      </c:pt>
                      <c:pt idx="1">
                        <c:v>448.33027741174499</c:v>
                      </c:pt>
                      <c:pt idx="2">
                        <c:v>7224.3030786701302</c:v>
                      </c:pt>
                      <c:pt idx="3">
                        <c:v>624.34140049565804</c:v>
                      </c:pt>
                      <c:pt idx="4">
                        <c:v>8575.3611118692606</c:v>
                      </c:pt>
                      <c:pt idx="5">
                        <c:v>8542.9391541094101</c:v>
                      </c:pt>
                      <c:pt idx="6">
                        <c:v>2100.9663020709099</c:v>
                      </c:pt>
                      <c:pt idx="7">
                        <c:v>1615.39673122314</c:v>
                      </c:pt>
                      <c:pt idx="8">
                        <c:v>1873.1446143370599</c:v>
                      </c:pt>
                      <c:pt idx="9">
                        <c:v>6484</c:v>
                      </c:pt>
                    </c:numCache>
                  </c:numRef>
                </c:val>
                <c:extLst xmlns:c15="http://schemas.microsoft.com/office/drawing/2012/chart">
                  <c:ext xmlns:c16="http://schemas.microsoft.com/office/drawing/2014/chart" uri="{C3380CC4-5D6E-409C-BE32-E72D297353CC}">
                    <c16:uniqueId val="{00000006-AC4C-4637-91B4-7CC099220A29}"/>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'Edo - des eco'!$H$5:$H$6</c15:sqref>
                        </c15:formulaRef>
                      </c:ext>
                    </c:extLst>
                    <c:strCache>
                      <c:ptCount val="2"/>
                      <c:pt idx="0">
                        <c:v>2015</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'Edo - des eco'!$A$7:$A$48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des eco'!$H$7:$H$48</c15:sqref>
                        </c15:formulaRef>
                      </c:ext>
                    </c:extLst>
                    <c:numCache>
                      <c:formatCode>#,##0.00_ ;\-#,##0.00\ </c:formatCode>
                      <c:ptCount val="10"/>
                      <c:pt idx="0">
                        <c:v>198.320322289426</c:v>
                      </c:pt>
                      <c:pt idx="1">
                        <c:v>362.85853924959503</c:v>
                      </c:pt>
                      <c:pt idx="2">
                        <c:v>7213.4908742624402</c:v>
                      </c:pt>
                      <c:pt idx="3">
                        <c:v>672.27741995890005</c:v>
                      </c:pt>
                      <c:pt idx="4">
                        <c:v>7945.94564591776</c:v>
                      </c:pt>
                      <c:pt idx="5">
                        <c:v>9587.0782745337601</c:v>
                      </c:pt>
                      <c:pt idx="6">
                        <c:v>2193.9852694382198</c:v>
                      </c:pt>
                      <c:pt idx="7">
                        <c:v>1807.8194452728901</c:v>
                      </c:pt>
                      <c:pt idx="8">
                        <c:v>1930.9170984423499</c:v>
                      </c:pt>
                      <c:pt idx="9">
                        <c:v>7861</c:v>
                      </c:pt>
                    </c:numCache>
                  </c:numRef>
                </c:val>
                <c:extLst xmlns:c15="http://schemas.microsoft.com/office/drawing/2012/chart">
                  <c:ext xmlns:c16="http://schemas.microsoft.com/office/drawing/2014/chart" uri="{C3380CC4-5D6E-409C-BE32-E72D297353CC}">
                    <c16:uniqueId val="{00000007-AC4C-4637-91B4-7CC099220A29}"/>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'Edo - des eco'!$I$5:$I$6</c15:sqref>
                        </c15:formulaRef>
                      </c:ext>
                    </c:extLst>
                    <c:strCache>
                      <c:ptCount val="2"/>
                      <c:pt idx="0">
                        <c:v>2016</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'Edo - des eco'!$A$7:$A$48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des eco'!$I$7:$I$48</c15:sqref>
                        </c15:formulaRef>
                      </c:ext>
                    </c:extLst>
                    <c:numCache>
                      <c:formatCode>#,##0.00_ ;\-#,##0.00\ </c:formatCode>
                      <c:ptCount val="10"/>
                      <c:pt idx="0">
                        <c:v>235.80919082070099</c:v>
                      </c:pt>
                      <c:pt idx="1">
                        <c:v>303.52319093336399</c:v>
                      </c:pt>
                      <c:pt idx="2">
                        <c:v>7650.2828190177597</c:v>
                      </c:pt>
                      <c:pt idx="3">
                        <c:v>800.53786944744297</c:v>
                      </c:pt>
                      <c:pt idx="4">
                        <c:v>8413.2548787398991</c:v>
                      </c:pt>
                      <c:pt idx="5">
                        <c:v>9483.6210123828005</c:v>
                      </c:pt>
                      <c:pt idx="6">
                        <c:v>1850.4756038370101</c:v>
                      </c:pt>
                      <c:pt idx="7">
                        <c:v>1892.9498977370999</c:v>
                      </c:pt>
                      <c:pt idx="8">
                        <c:v>2267.5748938212901</c:v>
                      </c:pt>
                      <c:pt idx="9">
                        <c:v>8443</c:v>
                      </c:pt>
                    </c:numCache>
                  </c:numRef>
                </c:val>
                <c:extLst xmlns:c15="http://schemas.microsoft.com/office/drawing/2012/chart">
                  <c:ext xmlns:c16="http://schemas.microsoft.com/office/drawing/2014/chart" uri="{C3380CC4-5D6E-409C-BE32-E72D297353CC}">
                    <c16:uniqueId val="{00000008-AC4C-4637-91B4-7CC099220A29}"/>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'Edo - des eco'!$K$5:$K$6</c15:sqref>
                        </c15:formulaRef>
                      </c:ext>
                    </c:extLst>
                    <c:strCache>
                      <c:ptCount val="2"/>
                      <c:pt idx="0">
                        <c:v>2018</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'Edo - des eco'!$A$7:$A$48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des eco'!$K$7:$K$48</c15:sqref>
                        </c15:formulaRef>
                      </c:ext>
                    </c:extLst>
                    <c:numCache>
                      <c:formatCode>#,##0.00_ ;\-#,##0.00\ </c:formatCode>
                      <c:ptCount val="10"/>
                      <c:pt idx="0">
                        <c:v>0</c:v>
                      </c:pt>
                      <c:pt idx="1">
                        <c:v>430.24585997288898</c:v>
                      </c:pt>
                      <c:pt idx="2">
                        <c:v>9087.0685375981993</c:v>
                      </c:pt>
                      <c:pt idx="3">
                        <c:v>0</c:v>
                      </c:pt>
                      <c:pt idx="4">
                        <c:v>12217.176316331799</c:v>
                      </c:pt>
                      <c:pt idx="5">
                        <c:v>0</c:v>
                      </c:pt>
                      <c:pt idx="6">
                        <c:v>0</c:v>
                      </c:pt>
                      <c:pt idx="7">
                        <c:v>0</c:v>
                      </c:pt>
                      <c:pt idx="8">
                        <c:v>0</c:v>
                      </c:pt>
                      <c:pt idx="9">
                        <c:v>8465</c:v>
                      </c:pt>
                    </c:numCache>
                  </c:numRef>
                </c:val>
                <c:extLst xmlns:c15="http://schemas.microsoft.com/office/drawing/2012/chart">
                  <c:ext xmlns:c16="http://schemas.microsoft.com/office/drawing/2014/chart" uri="{C3380CC4-5D6E-409C-BE32-E72D297353CC}">
                    <c16:uniqueId val="{00000009-AC4C-4637-91B4-7CC099220A29}"/>
                  </c:ext>
                </c:extLst>
              </c15:ser>
            </c15:filteredBarSeries>
          </c:ext>
        </c:extLst>
      </c:barChart>
      <c:catAx>
        <c:axId val="29846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298460792"/>
        <c:crosses val="autoZero"/>
        <c:auto val="1"/>
        <c:lblAlgn val="ctr"/>
        <c:lblOffset val="100"/>
        <c:noMultiLvlLbl val="0"/>
      </c:catAx>
      <c:valAx>
        <c:axId val="298460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800"/>
                  <a:t>Millones de dólares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numFmt formatCode="#,##0.00_ ;\-#,##0.00\ "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298460464"/>
        <c:crosses val="autoZero"/>
        <c:crossBetween val="between"/>
      </c:valAx>
      <c:spPr>
        <a:noFill/>
        <a:ln>
          <a:noFill/>
        </a:ln>
        <a:effectLst/>
      </c:spPr>
    </c:plotArea>
    <c:legend>
      <c:legendPos val="b"/>
      <c:layout>
        <c:manualLayout>
          <c:xMode val="edge"/>
          <c:yMode val="edge"/>
          <c:x val="0.25467228777705908"/>
          <c:y val="0.9160079889359577"/>
          <c:w val="0.5051383695574857"/>
          <c:h val="5.1616594042249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Hoja1!$B$1</c:f>
              <c:strCache>
                <c:ptCount val="1"/>
                <c:pt idx="0">
                  <c:v>PP</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Hoja1!$B$2:$B$12</c:f>
              <c:numCache>
                <c:formatCode>General</c:formatCode>
                <c:ptCount val="11"/>
                <c:pt idx="0">
                  <c:v>6306</c:v>
                </c:pt>
                <c:pt idx="1">
                  <c:v>5888</c:v>
                </c:pt>
                <c:pt idx="2">
                  <c:v>7318</c:v>
                </c:pt>
                <c:pt idx="3">
                  <c:v>7296</c:v>
                </c:pt>
                <c:pt idx="4">
                  <c:v>6410</c:v>
                </c:pt>
                <c:pt idx="5">
                  <c:v>3812</c:v>
                </c:pt>
                <c:pt idx="6">
                  <c:v>5167</c:v>
                </c:pt>
                <c:pt idx="7">
                  <c:v>7216</c:v>
                </c:pt>
                <c:pt idx="8">
                  <c:v>3333</c:v>
                </c:pt>
                <c:pt idx="9">
                  <c:v>3398</c:v>
                </c:pt>
                <c:pt idx="10">
                  <c:v>3351</c:v>
                </c:pt>
              </c:numCache>
            </c:numRef>
          </c:val>
          <c:extLst>
            <c:ext xmlns:c16="http://schemas.microsoft.com/office/drawing/2014/chart" uri="{C3380CC4-5D6E-409C-BE32-E72D297353CC}">
              <c16:uniqueId val="{00000000-CF5C-49BF-B685-DDA5A308BBDF}"/>
            </c:ext>
          </c:extLst>
        </c:ser>
        <c:ser>
          <c:idx val="1"/>
          <c:order val="1"/>
          <c:tx>
            <c:strRef>
              <c:f>Hoja1!$C$1</c:f>
              <c:strCache>
                <c:ptCount val="1"/>
                <c:pt idx="0">
                  <c:v>PO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Hoja1!$C$2:$C$12</c:f>
              <c:numCache>
                <c:formatCode>General</c:formatCode>
                <c:ptCount val="11"/>
                <c:pt idx="0">
                  <c:v>4615</c:v>
                </c:pt>
                <c:pt idx="1">
                  <c:v>4433</c:v>
                </c:pt>
                <c:pt idx="2">
                  <c:v>5164</c:v>
                </c:pt>
                <c:pt idx="3">
                  <c:v>5282</c:v>
                </c:pt>
                <c:pt idx="4">
                  <c:v>4737</c:v>
                </c:pt>
                <c:pt idx="5">
                  <c:v>2724</c:v>
                </c:pt>
                <c:pt idx="6">
                  <c:v>3386</c:v>
                </c:pt>
                <c:pt idx="7">
                  <c:v>5305</c:v>
                </c:pt>
                <c:pt idx="8">
                  <c:v>2374</c:v>
                </c:pt>
                <c:pt idx="9">
                  <c:v>3274</c:v>
                </c:pt>
                <c:pt idx="10">
                  <c:v>3348</c:v>
                </c:pt>
              </c:numCache>
            </c:numRef>
          </c:val>
          <c:extLst>
            <c:ext xmlns:c16="http://schemas.microsoft.com/office/drawing/2014/chart" uri="{C3380CC4-5D6E-409C-BE32-E72D297353CC}">
              <c16:uniqueId val="{00000001-CF5C-49BF-B685-DDA5A308BBDF}"/>
            </c:ext>
          </c:extLst>
        </c:ser>
        <c:ser>
          <c:idx val="2"/>
          <c:order val="2"/>
          <c:tx>
            <c:strRef>
              <c:f>Hoja1!$D$1</c:f>
              <c:strCache>
                <c:ptCount val="1"/>
                <c:pt idx="0">
                  <c:v>PA</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Hoja1!$D$2:$D$12</c:f>
              <c:numCache>
                <c:formatCode>General</c:formatCode>
                <c:ptCount val="11"/>
                <c:pt idx="0">
                  <c:v>4130</c:v>
                </c:pt>
                <c:pt idx="1">
                  <c:v>3973</c:v>
                </c:pt>
                <c:pt idx="2">
                  <c:v>4078</c:v>
                </c:pt>
                <c:pt idx="3">
                  <c:v>4530</c:v>
                </c:pt>
                <c:pt idx="4">
                  <c:v>3916</c:v>
                </c:pt>
                <c:pt idx="5">
                  <c:v>2648</c:v>
                </c:pt>
                <c:pt idx="6">
                  <c:v>2394</c:v>
                </c:pt>
                <c:pt idx="7">
                  <c:v>3668</c:v>
                </c:pt>
                <c:pt idx="8">
                  <c:v>2291</c:v>
                </c:pt>
                <c:pt idx="9">
                  <c:v>2767</c:v>
                </c:pt>
                <c:pt idx="10">
                  <c:v>3198</c:v>
                </c:pt>
              </c:numCache>
            </c:numRef>
          </c:val>
          <c:extLst>
            <c:ext xmlns:c16="http://schemas.microsoft.com/office/drawing/2014/chart" uri="{C3380CC4-5D6E-409C-BE32-E72D297353CC}">
              <c16:uniqueId val="{00000002-CF5C-49BF-B685-DDA5A308BBDF}"/>
            </c:ext>
          </c:extLst>
        </c:ser>
        <c:dLbls>
          <c:dLblPos val="ctr"/>
          <c:showLegendKey val="0"/>
          <c:showVal val="1"/>
          <c:showCatName val="0"/>
          <c:showSerName val="0"/>
          <c:showPercent val="0"/>
          <c:showBubbleSize val="0"/>
        </c:dLbls>
        <c:gapWidth val="79"/>
        <c:overlap val="100"/>
        <c:axId val="1481341920"/>
        <c:axId val="1366237840"/>
      </c:barChart>
      <c:catAx>
        <c:axId val="1481341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s-MX"/>
          </a:p>
        </c:txPr>
        <c:crossAx val="1366237840"/>
        <c:crosses val="autoZero"/>
        <c:auto val="1"/>
        <c:lblAlgn val="ctr"/>
        <c:lblOffset val="100"/>
        <c:noMultiLvlLbl val="0"/>
      </c:catAx>
      <c:valAx>
        <c:axId val="1366237840"/>
        <c:scaling>
          <c:orientation val="minMax"/>
        </c:scaling>
        <c:delete val="1"/>
        <c:axPos val="l"/>
        <c:numFmt formatCode="General" sourceLinked="1"/>
        <c:majorTickMark val="none"/>
        <c:minorTickMark val="none"/>
        <c:tickLblPos val="nextTo"/>
        <c:crossAx val="14813419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700"/>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42710408227835"/>
          <c:y val="0.13787961468323756"/>
          <c:w val="0.81065284045186459"/>
          <c:h val="0.65489392589053552"/>
        </c:manualLayout>
      </c:layout>
      <c:areaChart>
        <c:grouping val="stacked"/>
        <c:varyColors val="0"/>
        <c:ser>
          <c:idx val="0"/>
          <c:order val="0"/>
          <c:tx>
            <c:strRef>
              <c:f>'Tab 1'!$L$30</c:f>
              <c:strCache>
                <c:ptCount val="1"/>
                <c:pt idx="0">
                  <c:v>Sector productivo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dLbl>
              <c:idx val="0"/>
              <c:layout>
                <c:manualLayout>
                  <c:x val="3.5555555555555535E-2"/>
                  <c:y val="-1.19047619047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BE-401D-98BB-022F8ABF6F32}"/>
                </c:ext>
              </c:extLst>
            </c:dLbl>
            <c:dLbl>
              <c:idx val="7"/>
              <c:layout>
                <c:manualLayout>
                  <c:x val="-3.5555555555555556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BE-401D-98BB-022F8ABF6F3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 1'!$K$31:$K$38</c:f>
              <c:strCache>
                <c:ptCount val="8"/>
                <c:pt idx="0">
                  <c:v>2010</c:v>
                </c:pt>
                <c:pt idx="1">
                  <c:v>2011</c:v>
                </c:pt>
                <c:pt idx="2">
                  <c:v>2012</c:v>
                </c:pt>
                <c:pt idx="3">
                  <c:v>2013</c:v>
                </c:pt>
                <c:pt idx="4">
                  <c:v>2014/e</c:v>
                </c:pt>
                <c:pt idx="5">
                  <c:v>2015/e</c:v>
                </c:pt>
                <c:pt idx="6">
                  <c:v>2016/e</c:v>
                </c:pt>
                <c:pt idx="7">
                  <c:v>2017/e</c:v>
                </c:pt>
              </c:strCache>
            </c:strRef>
          </c:cat>
          <c:val>
            <c:numRef>
              <c:f>'Tab 1'!$L$31:$L$38</c:f>
              <c:numCache>
                <c:formatCode>"$"#,##0.00</c:formatCode>
                <c:ptCount val="8"/>
                <c:pt idx="0">
                  <c:v>33795143000</c:v>
                </c:pt>
                <c:pt idx="1">
                  <c:v>33458654000</c:v>
                </c:pt>
                <c:pt idx="2">
                  <c:v>27757424000</c:v>
                </c:pt>
                <c:pt idx="3">
                  <c:v>30360174000</c:v>
                </c:pt>
                <c:pt idx="4">
                  <c:v>31818475000</c:v>
                </c:pt>
                <c:pt idx="5">
                  <c:v>32484133000</c:v>
                </c:pt>
                <c:pt idx="6">
                  <c:v>31718931000</c:v>
                </c:pt>
                <c:pt idx="7">
                  <c:v>30935351000</c:v>
                </c:pt>
              </c:numCache>
            </c:numRef>
          </c:val>
          <c:extLst>
            <c:ext xmlns:c16="http://schemas.microsoft.com/office/drawing/2014/chart" uri="{C3380CC4-5D6E-409C-BE32-E72D297353CC}">
              <c16:uniqueId val="{00000002-D7BE-401D-98BB-022F8ABF6F32}"/>
            </c:ext>
          </c:extLst>
        </c:ser>
        <c:ser>
          <c:idx val="1"/>
          <c:order val="1"/>
          <c:tx>
            <c:strRef>
              <c:f>'Tab 1'!$M$30</c:f>
              <c:strCache>
                <c:ptCount val="1"/>
                <c:pt idx="0">
                  <c:v>Sector gobierno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s>
            <c:dLbl>
              <c:idx val="0"/>
              <c:layout>
                <c:manualLayout>
                  <c:x val="2.8888888888888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BE-401D-98BB-022F8ABF6F32}"/>
                </c:ext>
              </c:extLst>
            </c:dLbl>
            <c:dLbl>
              <c:idx val="7"/>
              <c:layout>
                <c:manualLayout>
                  <c:x val="-3.3333333333333333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BE-401D-98BB-022F8ABF6F32}"/>
                </c:ext>
              </c:extLst>
            </c:dLbl>
            <c:numFmt formatCode="&quot;$&quot;#,##0.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 1'!$K$31:$K$38</c:f>
              <c:strCache>
                <c:ptCount val="8"/>
                <c:pt idx="0">
                  <c:v>2010</c:v>
                </c:pt>
                <c:pt idx="1">
                  <c:v>2011</c:v>
                </c:pt>
                <c:pt idx="2">
                  <c:v>2012</c:v>
                </c:pt>
                <c:pt idx="3">
                  <c:v>2013</c:v>
                </c:pt>
                <c:pt idx="4">
                  <c:v>2014/e</c:v>
                </c:pt>
                <c:pt idx="5">
                  <c:v>2015/e</c:v>
                </c:pt>
                <c:pt idx="6">
                  <c:v>2016/e</c:v>
                </c:pt>
                <c:pt idx="7">
                  <c:v>2017/e</c:v>
                </c:pt>
              </c:strCache>
            </c:strRef>
          </c:cat>
          <c:val>
            <c:numRef>
              <c:f>'Tab 1'!$M$31:$M$38</c:f>
              <c:numCache>
                <c:formatCode>"$"#,##0.00</c:formatCode>
                <c:ptCount val="8"/>
                <c:pt idx="0">
                  <c:v>32396192000</c:v>
                </c:pt>
                <c:pt idx="1">
                  <c:v>30635071000</c:v>
                </c:pt>
                <c:pt idx="2">
                  <c:v>35486834000</c:v>
                </c:pt>
                <c:pt idx="3">
                  <c:v>37000386000</c:v>
                </c:pt>
                <c:pt idx="4">
                  <c:v>40964786000</c:v>
                </c:pt>
                <c:pt idx="5">
                  <c:v>41017807000</c:v>
                </c:pt>
                <c:pt idx="6">
                  <c:v>37846919000</c:v>
                </c:pt>
                <c:pt idx="7">
                  <c:v>33365558000</c:v>
                </c:pt>
              </c:numCache>
            </c:numRef>
          </c:val>
          <c:extLst>
            <c:ext xmlns:c16="http://schemas.microsoft.com/office/drawing/2014/chart" uri="{C3380CC4-5D6E-409C-BE32-E72D297353CC}">
              <c16:uniqueId val="{00000005-D7BE-401D-98BB-022F8ABF6F32}"/>
            </c:ext>
          </c:extLst>
        </c:ser>
        <c:ser>
          <c:idx val="2"/>
          <c:order val="2"/>
          <c:tx>
            <c:strRef>
              <c:f>'Tab 1'!$N$30</c:f>
              <c:strCache>
                <c:ptCount val="1"/>
                <c:pt idx="0">
                  <c:v>Sector educación superior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Lbls>
            <c:dLbl>
              <c:idx val="0"/>
              <c:layout>
                <c:manualLayout>
                  <c:x val="3.3333333333333312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BE-401D-98BB-022F8ABF6F32}"/>
                </c:ext>
              </c:extLst>
            </c:dLbl>
            <c:dLbl>
              <c:idx val="7"/>
              <c:layout>
                <c:manualLayout>
                  <c:x val="-2.2222222222222223E-2"/>
                  <c:y val="1.1904761904761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BE-401D-98BB-022F8ABF6F3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 1'!$K$31:$K$38</c:f>
              <c:strCache>
                <c:ptCount val="8"/>
                <c:pt idx="0">
                  <c:v>2010</c:v>
                </c:pt>
                <c:pt idx="1">
                  <c:v>2011</c:v>
                </c:pt>
                <c:pt idx="2">
                  <c:v>2012</c:v>
                </c:pt>
                <c:pt idx="3">
                  <c:v>2013</c:v>
                </c:pt>
                <c:pt idx="4">
                  <c:v>2014/e</c:v>
                </c:pt>
                <c:pt idx="5">
                  <c:v>2015/e</c:v>
                </c:pt>
                <c:pt idx="6">
                  <c:v>2016/e</c:v>
                </c:pt>
                <c:pt idx="7">
                  <c:v>2017/e</c:v>
                </c:pt>
              </c:strCache>
            </c:strRef>
          </c:cat>
          <c:val>
            <c:numRef>
              <c:f>'Tab 1'!$N$31:$N$38</c:f>
              <c:numCache>
                <c:formatCode>"$"#,##0.00</c:formatCode>
                <c:ptCount val="8"/>
                <c:pt idx="0">
                  <c:v>27933606000</c:v>
                </c:pt>
                <c:pt idx="1">
                  <c:v>29071158000</c:v>
                </c:pt>
                <c:pt idx="2">
                  <c:v>25713294000</c:v>
                </c:pt>
                <c:pt idx="3">
                  <c:v>25462559000</c:v>
                </c:pt>
                <c:pt idx="4">
                  <c:v>28333538000</c:v>
                </c:pt>
                <c:pt idx="5">
                  <c:v>29026123000</c:v>
                </c:pt>
                <c:pt idx="6">
                  <c:v>27778216000</c:v>
                </c:pt>
                <c:pt idx="7">
                  <c:v>25793921000</c:v>
                </c:pt>
              </c:numCache>
            </c:numRef>
          </c:val>
          <c:extLst>
            <c:ext xmlns:c16="http://schemas.microsoft.com/office/drawing/2014/chart" uri="{C3380CC4-5D6E-409C-BE32-E72D297353CC}">
              <c16:uniqueId val="{00000008-D7BE-401D-98BB-022F8ABF6F32}"/>
            </c:ext>
          </c:extLst>
        </c:ser>
        <c:ser>
          <c:idx val="3"/>
          <c:order val="3"/>
          <c:tx>
            <c:strRef>
              <c:f>'Tab 1'!$O$30</c:f>
              <c:strCache>
                <c:ptCount val="1"/>
                <c:pt idx="0">
                  <c:v>Sector privado no lucrativo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Lbls>
            <c:dLbl>
              <c:idx val="0"/>
              <c:layout>
                <c:manualLayout>
                  <c:x val="2.8888888888888888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BE-401D-98BB-022F8ABF6F32}"/>
                </c:ext>
              </c:extLst>
            </c:dLbl>
            <c:dLbl>
              <c:idx val="1"/>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BE-401D-98BB-022F8ABF6F32}"/>
                </c:ext>
              </c:extLst>
            </c:dLbl>
            <c:dLbl>
              <c:idx val="2"/>
              <c:layout>
                <c:manualLayout>
                  <c:x val="0"/>
                  <c:y val="-3.565367862222635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D8-43BD-948F-3DB4F4BF1569}"/>
                </c:ext>
              </c:extLst>
            </c:dLbl>
            <c:dLbl>
              <c:idx val="7"/>
              <c:layout>
                <c:manualLayout>
                  <c:x val="-3.111111111111111E-2"/>
                  <c:y val="-1.1904761904761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BE-401D-98BB-022F8ABF6F3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 1'!$K$31:$K$38</c:f>
              <c:strCache>
                <c:ptCount val="8"/>
                <c:pt idx="0">
                  <c:v>2010</c:v>
                </c:pt>
                <c:pt idx="1">
                  <c:v>2011</c:v>
                </c:pt>
                <c:pt idx="2">
                  <c:v>2012</c:v>
                </c:pt>
                <c:pt idx="3">
                  <c:v>2013</c:v>
                </c:pt>
                <c:pt idx="4">
                  <c:v>2014/e</c:v>
                </c:pt>
                <c:pt idx="5">
                  <c:v>2015/e</c:v>
                </c:pt>
                <c:pt idx="6">
                  <c:v>2016/e</c:v>
                </c:pt>
                <c:pt idx="7">
                  <c:v>2017/e</c:v>
                </c:pt>
              </c:strCache>
            </c:strRef>
          </c:cat>
          <c:val>
            <c:numRef>
              <c:f>'Tab 1'!$O$31:$O$38</c:f>
              <c:numCache>
                <c:formatCode>"$"#,##0.00</c:formatCode>
                <c:ptCount val="8"/>
                <c:pt idx="0">
                  <c:v>1578208000</c:v>
                </c:pt>
                <c:pt idx="1">
                  <c:v>1639586000</c:v>
                </c:pt>
                <c:pt idx="2">
                  <c:v>4498332000</c:v>
                </c:pt>
                <c:pt idx="3">
                  <c:v>4554811000</c:v>
                </c:pt>
                <c:pt idx="4">
                  <c:v>5183960000</c:v>
                </c:pt>
                <c:pt idx="5">
                  <c:v>5876113000</c:v>
                </c:pt>
                <c:pt idx="6">
                  <c:v>6466007000</c:v>
                </c:pt>
                <c:pt idx="7">
                  <c:v>7071241000</c:v>
                </c:pt>
              </c:numCache>
            </c:numRef>
          </c:val>
          <c:extLst>
            <c:ext xmlns:c16="http://schemas.microsoft.com/office/drawing/2014/chart" uri="{C3380CC4-5D6E-409C-BE32-E72D297353CC}">
              <c16:uniqueId val="{0000000C-D7BE-401D-98BB-022F8ABF6F32}"/>
            </c:ext>
          </c:extLst>
        </c:ser>
        <c:dLbls>
          <c:showLegendKey val="0"/>
          <c:showVal val="1"/>
          <c:showCatName val="0"/>
          <c:showSerName val="0"/>
          <c:showPercent val="0"/>
          <c:showBubbleSize val="0"/>
        </c:dLbls>
        <c:axId val="390123344"/>
        <c:axId val="390120064"/>
      </c:areaChart>
      <c:catAx>
        <c:axId val="39012334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390120064"/>
        <c:crosses val="autoZero"/>
        <c:auto val="1"/>
        <c:lblAlgn val="ctr"/>
        <c:lblOffset val="100"/>
        <c:noMultiLvlLbl val="0"/>
      </c:catAx>
      <c:valAx>
        <c:axId val="390120064"/>
        <c:scaling>
          <c:orientation val="minMax"/>
        </c:scaling>
        <c:delete val="0"/>
        <c:axPos val="l"/>
        <c:majorGridlines>
          <c:spPr>
            <a:ln w="9525" cap="flat" cmpd="sng" algn="ctr">
              <a:solidFill>
                <a:schemeClr val="tx2">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390123344"/>
        <c:crosses val="autoZero"/>
        <c:crossBetween val="midCat"/>
        <c:dispUnits>
          <c:builtInUnit val="billions"/>
          <c:dispUnitsLbl>
            <c:layout>
              <c:manualLayout>
                <c:xMode val="edge"/>
                <c:yMode val="edge"/>
                <c:x val="1.1821672943592852E-3"/>
                <c:y val="0.14565857214172614"/>
              </c:manualLayout>
            </c:layout>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Miles de millones de pesos a precios de 2017</a:t>
                  </a:r>
                </a:p>
              </c:rich>
            </c:tx>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zero"/>
    <c:showDLblsOverMax val="0"/>
  </c:chart>
  <c:spPr>
    <a:solidFill>
      <a:schemeClr val="bg1">
        <a:lumMod val="95000"/>
      </a:schemeClr>
    </a:solidFill>
    <a:ln w="9525" cap="flat" cmpd="sng" algn="ctr">
      <a:solidFill>
        <a:schemeClr val="tx2">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37387409058593"/>
          <c:y val="7.0056637036696484E-2"/>
          <c:w val="0.85278989073796096"/>
          <c:h val="0.73355094592515702"/>
        </c:manualLayout>
      </c:layout>
      <c:lineChart>
        <c:grouping val="standard"/>
        <c:varyColors val="0"/>
        <c:ser>
          <c:idx val="5"/>
          <c:order val="5"/>
          <c:tx>
            <c:strRef>
              <c:f>Hoja2!$M$10</c:f>
              <c:strCache>
                <c:ptCount val="1"/>
                <c:pt idx="0">
                  <c:v>Directivos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Hoja2!$N$4:$U$4</c:f>
              <c:strCache>
                <c:ptCount val="8"/>
                <c:pt idx="0">
                  <c:v>2010</c:v>
                </c:pt>
                <c:pt idx="1">
                  <c:v>2011</c:v>
                </c:pt>
                <c:pt idx="2">
                  <c:v>2012</c:v>
                </c:pt>
                <c:pt idx="3">
                  <c:v>2013</c:v>
                </c:pt>
                <c:pt idx="4">
                  <c:v>2014/e</c:v>
                </c:pt>
                <c:pt idx="5">
                  <c:v>2015/e</c:v>
                </c:pt>
                <c:pt idx="6">
                  <c:v>2016</c:v>
                </c:pt>
                <c:pt idx="7">
                  <c:v>2017</c:v>
                </c:pt>
              </c:strCache>
            </c:strRef>
          </c:cat>
          <c:val>
            <c:numRef>
              <c:f>Hoja2!$N$10:$U$10</c:f>
              <c:numCache>
                <c:formatCode>_-* #,##0_-;\-* #,##0_-;_-* "-"??_-;_-@_-</c:formatCode>
                <c:ptCount val="8"/>
                <c:pt idx="0">
                  <c:v>577755</c:v>
                </c:pt>
                <c:pt idx="1">
                  <c:v>621243</c:v>
                </c:pt>
                <c:pt idx="2">
                  <c:v>600242</c:v>
                </c:pt>
                <c:pt idx="3">
                  <c:v>602353</c:v>
                </c:pt>
                <c:pt idx="4">
                  <c:v>615888</c:v>
                </c:pt>
                <c:pt idx="5">
                  <c:v>620709</c:v>
                </c:pt>
                <c:pt idx="6">
                  <c:v>574286</c:v>
                </c:pt>
                <c:pt idx="7">
                  <c:v>573903</c:v>
                </c:pt>
              </c:numCache>
            </c:numRef>
          </c:val>
          <c:smooth val="0"/>
          <c:extLst>
            <c:ext xmlns:c16="http://schemas.microsoft.com/office/drawing/2014/chart" uri="{C3380CC4-5D6E-409C-BE32-E72D297353CC}">
              <c16:uniqueId val="{00000000-D52C-4093-A14C-6619F1FE2B82}"/>
            </c:ext>
          </c:extLst>
        </c:ser>
        <c:ser>
          <c:idx val="6"/>
          <c:order val="6"/>
          <c:tx>
            <c:strRef>
              <c:f>Hoja2!$M$11</c:f>
              <c:strCache>
                <c:ptCount val="1"/>
                <c:pt idx="0">
                  <c:v>Profesionales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Hoja2!$N$4:$U$4</c:f>
              <c:strCache>
                <c:ptCount val="8"/>
                <c:pt idx="0">
                  <c:v>2010</c:v>
                </c:pt>
                <c:pt idx="1">
                  <c:v>2011</c:v>
                </c:pt>
                <c:pt idx="2">
                  <c:v>2012</c:v>
                </c:pt>
                <c:pt idx="3">
                  <c:v>2013</c:v>
                </c:pt>
                <c:pt idx="4">
                  <c:v>2014/e</c:v>
                </c:pt>
                <c:pt idx="5">
                  <c:v>2015/e</c:v>
                </c:pt>
                <c:pt idx="6">
                  <c:v>2016</c:v>
                </c:pt>
                <c:pt idx="7">
                  <c:v>2017</c:v>
                </c:pt>
              </c:strCache>
            </c:strRef>
          </c:cat>
          <c:val>
            <c:numRef>
              <c:f>Hoja2!$N$11:$U$11</c:f>
              <c:numCache>
                <c:formatCode>_-* #,##0_-;\-* #,##0_-;_-* "-"??_-;_-@_-</c:formatCode>
                <c:ptCount val="8"/>
                <c:pt idx="0">
                  <c:v>2924272</c:v>
                </c:pt>
                <c:pt idx="1">
                  <c:v>3066337</c:v>
                </c:pt>
                <c:pt idx="2">
                  <c:v>3129105</c:v>
                </c:pt>
                <c:pt idx="3">
                  <c:v>3214986</c:v>
                </c:pt>
                <c:pt idx="4">
                  <c:v>3287225</c:v>
                </c:pt>
                <c:pt idx="5">
                  <c:v>3386751</c:v>
                </c:pt>
                <c:pt idx="6">
                  <c:v>4136642</c:v>
                </c:pt>
                <c:pt idx="7">
                  <c:v>4322317</c:v>
                </c:pt>
              </c:numCache>
            </c:numRef>
          </c:val>
          <c:smooth val="0"/>
          <c:extLst>
            <c:ext xmlns:c16="http://schemas.microsoft.com/office/drawing/2014/chart" uri="{C3380CC4-5D6E-409C-BE32-E72D297353CC}">
              <c16:uniqueId val="{00000001-D52C-4093-A14C-6619F1FE2B82}"/>
            </c:ext>
          </c:extLst>
        </c:ser>
        <c:ser>
          <c:idx val="7"/>
          <c:order val="7"/>
          <c:tx>
            <c:strRef>
              <c:f>Hoja2!$M$12</c:f>
              <c:strCache>
                <c:ptCount val="1"/>
                <c:pt idx="0">
                  <c:v>Técnicos</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Hoja2!$N$4:$U$4</c:f>
              <c:strCache>
                <c:ptCount val="8"/>
                <c:pt idx="0">
                  <c:v>2010</c:v>
                </c:pt>
                <c:pt idx="1">
                  <c:v>2011</c:v>
                </c:pt>
                <c:pt idx="2">
                  <c:v>2012</c:v>
                </c:pt>
                <c:pt idx="3">
                  <c:v>2013</c:v>
                </c:pt>
                <c:pt idx="4">
                  <c:v>2014/e</c:v>
                </c:pt>
                <c:pt idx="5">
                  <c:v>2015/e</c:v>
                </c:pt>
                <c:pt idx="6">
                  <c:v>2016</c:v>
                </c:pt>
                <c:pt idx="7">
                  <c:v>2017</c:v>
                </c:pt>
              </c:strCache>
            </c:strRef>
          </c:cat>
          <c:val>
            <c:numRef>
              <c:f>Hoja2!$N$12:$U$12</c:f>
              <c:numCache>
                <c:formatCode>_-* #,##0_-;\-* #,##0_-;_-* "-"??_-;_-@_-</c:formatCode>
                <c:ptCount val="8"/>
                <c:pt idx="0">
                  <c:v>385039</c:v>
                </c:pt>
                <c:pt idx="1">
                  <c:v>439966</c:v>
                </c:pt>
                <c:pt idx="2">
                  <c:v>421299</c:v>
                </c:pt>
                <c:pt idx="3">
                  <c:v>425746</c:v>
                </c:pt>
                <c:pt idx="4">
                  <c:v>435312</c:v>
                </c:pt>
                <c:pt idx="5">
                  <c:v>44737</c:v>
                </c:pt>
                <c:pt idx="6">
                  <c:v>1510508</c:v>
                </c:pt>
                <c:pt idx="7">
                  <c:v>1510172</c:v>
                </c:pt>
              </c:numCache>
            </c:numRef>
          </c:val>
          <c:smooth val="0"/>
          <c:extLst>
            <c:ext xmlns:c16="http://schemas.microsoft.com/office/drawing/2014/chart" uri="{C3380CC4-5D6E-409C-BE32-E72D297353CC}">
              <c16:uniqueId val="{00000002-D52C-4093-A14C-6619F1FE2B82}"/>
            </c:ext>
          </c:extLst>
        </c:ser>
        <c:dLbls>
          <c:showLegendKey val="0"/>
          <c:showVal val="0"/>
          <c:showCatName val="0"/>
          <c:showSerName val="0"/>
          <c:showPercent val="0"/>
          <c:showBubbleSize val="0"/>
        </c:dLbls>
        <c:marker val="1"/>
        <c:smooth val="0"/>
        <c:axId val="384087680"/>
        <c:axId val="384089976"/>
        <c:extLst>
          <c:ext xmlns:c15="http://schemas.microsoft.com/office/drawing/2012/chart" uri="{02D57815-91ED-43cb-92C2-25804820EDAC}">
            <c15:filteredLineSeries>
              <c15:ser>
                <c:idx val="0"/>
                <c:order val="0"/>
                <c:tx>
                  <c:strRef>
                    <c:extLst>
                      <c:ext uri="{02D57815-91ED-43cb-92C2-25804820EDAC}">
                        <c15:formulaRef>
                          <c15:sqref>Hoja2!$M$5</c15:sqref>
                        </c15:formulaRef>
                      </c:ext>
                    </c:extLst>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c:ext uri="{02D57815-91ED-43cb-92C2-25804820EDAC}">
                        <c15:formulaRef>
                          <c15:sqref>Hoja2!$N$5:$U$5</c15:sqref>
                        </c15:formulaRef>
                      </c:ext>
                    </c:extLst>
                    <c:numCache>
                      <c:formatCode>_-* #,##0_-;\-* #,##0_-;_-* "-"??_-;_-@_-</c:formatCode>
                      <c:ptCount val="8"/>
                      <c:pt idx="0">
                        <c:v>3887066</c:v>
                      </c:pt>
                      <c:pt idx="1">
                        <c:v>4127546</c:v>
                      </c:pt>
                      <c:pt idx="2">
                        <c:v>4150646</c:v>
                      </c:pt>
                      <c:pt idx="3">
                        <c:v>4243085</c:v>
                      </c:pt>
                      <c:pt idx="4">
                        <c:v>4338425</c:v>
                      </c:pt>
                      <c:pt idx="5">
                        <c:v>4454831</c:v>
                      </c:pt>
                      <c:pt idx="6">
                        <c:v>6221436</c:v>
                      </c:pt>
                      <c:pt idx="7">
                        <c:v>6406392</c:v>
                      </c:pt>
                    </c:numCache>
                  </c:numRef>
                </c:val>
                <c:smooth val="0"/>
                <c:extLst>
                  <c:ext xmlns:c16="http://schemas.microsoft.com/office/drawing/2014/chart" uri="{C3380CC4-5D6E-409C-BE32-E72D297353CC}">
                    <c16:uniqueId val="{00000003-D52C-4093-A14C-6619F1FE2B8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Hoja2!$M$6</c15:sqref>
                        </c15:formulaRef>
                      </c:ext>
                    </c:extLst>
                    <c:strCache>
                      <c:ptCount val="1"/>
                      <c:pt idx="0">
                        <c:v>Género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Hoja2!$N$6:$U$6</c15:sqref>
                        </c15:formulaRef>
                      </c:ext>
                    </c:extLst>
                    <c:numCache>
                      <c:formatCode>General</c:formatCode>
                      <c:ptCount val="8"/>
                    </c:numCache>
                  </c:numRef>
                </c:val>
                <c:smooth val="0"/>
                <c:extLst xmlns:c15="http://schemas.microsoft.com/office/drawing/2012/chart">
                  <c:ext xmlns:c16="http://schemas.microsoft.com/office/drawing/2014/chart" uri="{C3380CC4-5D6E-409C-BE32-E72D297353CC}">
                    <c16:uniqueId val="{00000004-D52C-4093-A14C-6619F1FE2B8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Hoja2!$M$7</c15:sqref>
                        </c15:formulaRef>
                      </c:ext>
                    </c:extLst>
                    <c:strCache>
                      <c:ptCount val="1"/>
                      <c:pt idx="0">
                        <c:v>Hombres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Hoja2!$N$7:$U$7</c15:sqref>
                        </c15:formulaRef>
                      </c:ext>
                    </c:extLst>
                    <c:numCache>
                      <c:formatCode>_-* #,##0_-;\-* #,##0_-;_-* "-"??_-;_-@_-</c:formatCode>
                      <c:ptCount val="8"/>
                      <c:pt idx="0">
                        <c:v>2059544</c:v>
                      </c:pt>
                      <c:pt idx="1">
                        <c:v>2168766</c:v>
                      </c:pt>
                      <c:pt idx="2">
                        <c:v>2169297</c:v>
                      </c:pt>
                      <c:pt idx="3">
                        <c:v>2204498</c:v>
                      </c:pt>
                      <c:pt idx="4">
                        <c:v>2387045</c:v>
                      </c:pt>
                      <c:pt idx="5">
                        <c:v>2405050</c:v>
                      </c:pt>
                      <c:pt idx="6">
                        <c:v>3267960</c:v>
                      </c:pt>
                      <c:pt idx="7">
                        <c:v>3318031</c:v>
                      </c:pt>
                    </c:numCache>
                  </c:numRef>
                </c:val>
                <c:smooth val="0"/>
                <c:extLst xmlns:c15="http://schemas.microsoft.com/office/drawing/2012/chart">
                  <c:ext xmlns:c16="http://schemas.microsoft.com/office/drawing/2014/chart" uri="{C3380CC4-5D6E-409C-BE32-E72D297353CC}">
                    <c16:uniqueId val="{00000005-D52C-4093-A14C-6619F1FE2B8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Hoja2!$M$8</c15:sqref>
                        </c15:formulaRef>
                      </c:ext>
                    </c:extLst>
                    <c:strCache>
                      <c:ptCount val="1"/>
                      <c:pt idx="0">
                        <c:v>Mujeres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Hoja2!$N$8:$U$8</c15:sqref>
                        </c15:formulaRef>
                      </c:ext>
                    </c:extLst>
                    <c:numCache>
                      <c:formatCode>_-* #,##0_-;\-* #,##0_-;_-* "-"??_-;_-@_-</c:formatCode>
                      <c:ptCount val="8"/>
                      <c:pt idx="0">
                        <c:v>1827522</c:v>
                      </c:pt>
                      <c:pt idx="1">
                        <c:v>1958780</c:v>
                      </c:pt>
                      <c:pt idx="2">
                        <c:v>1981349</c:v>
                      </c:pt>
                      <c:pt idx="3">
                        <c:v>2038587</c:v>
                      </c:pt>
                      <c:pt idx="4">
                        <c:v>1951380</c:v>
                      </c:pt>
                      <c:pt idx="5">
                        <c:v>2049780</c:v>
                      </c:pt>
                      <c:pt idx="6">
                        <c:v>2953476</c:v>
                      </c:pt>
                      <c:pt idx="7">
                        <c:v>3088361</c:v>
                      </c:pt>
                    </c:numCache>
                  </c:numRef>
                </c:val>
                <c:smooth val="0"/>
                <c:extLst xmlns:c15="http://schemas.microsoft.com/office/drawing/2012/chart">
                  <c:ext xmlns:c16="http://schemas.microsoft.com/office/drawing/2014/chart" uri="{C3380CC4-5D6E-409C-BE32-E72D297353CC}">
                    <c16:uniqueId val="{00000006-D52C-4093-A14C-6619F1FE2B8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Hoja2!$M$9</c15:sqref>
                        </c15:formulaRef>
                      </c:ext>
                    </c:extLst>
                    <c:strCache>
                      <c:ptCount val="1"/>
                      <c:pt idx="0">
                        <c:v>Ocupación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Hoja2!$N$9:$U$9</c15:sqref>
                        </c15:formulaRef>
                      </c:ext>
                    </c:extLst>
                    <c:numCache>
                      <c:formatCode>General</c:formatCode>
                      <c:ptCount val="8"/>
                    </c:numCache>
                  </c:numRef>
                </c:val>
                <c:smooth val="0"/>
                <c:extLst xmlns:c15="http://schemas.microsoft.com/office/drawing/2012/chart">
                  <c:ext xmlns:c16="http://schemas.microsoft.com/office/drawing/2014/chart" uri="{C3380CC4-5D6E-409C-BE32-E72D297353CC}">
                    <c16:uniqueId val="{00000007-D52C-4093-A14C-6619F1FE2B82}"/>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Hoja2!$M$13</c15:sqref>
                        </c15:formulaRef>
                      </c:ext>
                    </c:extLst>
                    <c:strCache>
                      <c:ptCount val="1"/>
                      <c:pt idx="0">
                        <c:v>Educación</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Hoja2!$N$13:$U$13</c15:sqref>
                        </c15:formulaRef>
                      </c:ext>
                    </c:extLst>
                    <c:numCache>
                      <c:formatCode>General</c:formatCode>
                      <c:ptCount val="8"/>
                    </c:numCache>
                  </c:numRef>
                </c:val>
                <c:smooth val="0"/>
                <c:extLst xmlns:c15="http://schemas.microsoft.com/office/drawing/2012/chart">
                  <c:ext xmlns:c16="http://schemas.microsoft.com/office/drawing/2014/chart" uri="{C3380CC4-5D6E-409C-BE32-E72D297353CC}">
                    <c16:uniqueId val="{00000008-D52C-4093-A14C-6619F1FE2B82}"/>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Hoja2!$M$14</c15:sqref>
                        </c15:formulaRef>
                      </c:ext>
                    </c:extLst>
                    <c:strCache>
                      <c:ptCount val="1"/>
                      <c:pt idx="0">
                        <c:v>Posgrado</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Hoja2!$N$14:$U$14</c15:sqref>
                        </c15:formulaRef>
                      </c:ext>
                    </c:extLst>
                    <c:numCache>
                      <c:formatCode>_-* #,##0_-;\-* #,##0_-;_-* "-"??_-;_-@_-</c:formatCode>
                      <c:ptCount val="8"/>
                      <c:pt idx="0">
                        <c:v>41704</c:v>
                      </c:pt>
                      <c:pt idx="1">
                        <c:v>488525</c:v>
                      </c:pt>
                      <c:pt idx="2">
                        <c:v>440101</c:v>
                      </c:pt>
                      <c:pt idx="3">
                        <c:v>461745</c:v>
                      </c:pt>
                      <c:pt idx="4">
                        <c:v>47212</c:v>
                      </c:pt>
                      <c:pt idx="5">
                        <c:v>480921</c:v>
                      </c:pt>
                      <c:pt idx="6">
                        <c:v>720803</c:v>
                      </c:pt>
                      <c:pt idx="7">
                        <c:v>729894</c:v>
                      </c:pt>
                    </c:numCache>
                  </c:numRef>
                </c:val>
                <c:smooth val="0"/>
                <c:extLst xmlns:c15="http://schemas.microsoft.com/office/drawing/2012/chart">
                  <c:ext xmlns:c16="http://schemas.microsoft.com/office/drawing/2014/chart" uri="{C3380CC4-5D6E-409C-BE32-E72D297353CC}">
                    <c16:uniqueId val="{00000009-D52C-4093-A14C-6619F1FE2B82}"/>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Hoja2!$M$15</c15:sqref>
                        </c15:formulaRef>
                      </c:ext>
                    </c:extLst>
                    <c:strCache>
                      <c:ptCount val="1"/>
                      <c:pt idx="0">
                        <c:v>Licenciatura</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Hoja2!$N$15:$U$15</c15:sqref>
                        </c15:formulaRef>
                      </c:ext>
                    </c:extLst>
                    <c:numCache>
                      <c:formatCode>_-* #,##0_-;\-* #,##0_-;_-* "-"??_-;_-@_-</c:formatCode>
                      <c:ptCount val="8"/>
                      <c:pt idx="0">
                        <c:v>3174117</c:v>
                      </c:pt>
                      <c:pt idx="1">
                        <c:v>3297875</c:v>
                      </c:pt>
                      <c:pt idx="2">
                        <c:v>3421180</c:v>
                      </c:pt>
                      <c:pt idx="3">
                        <c:v>3476564</c:v>
                      </c:pt>
                      <c:pt idx="4">
                        <c:v>3554681</c:v>
                      </c:pt>
                      <c:pt idx="5">
                        <c:v>3666829</c:v>
                      </c:pt>
                      <c:pt idx="6">
                        <c:v>5385834</c:v>
                      </c:pt>
                      <c:pt idx="7">
                        <c:v>5588737</c:v>
                      </c:pt>
                    </c:numCache>
                  </c:numRef>
                </c:val>
                <c:smooth val="0"/>
                <c:extLst xmlns:c15="http://schemas.microsoft.com/office/drawing/2012/chart">
                  <c:ext xmlns:c16="http://schemas.microsoft.com/office/drawing/2014/chart" uri="{C3380CC4-5D6E-409C-BE32-E72D297353CC}">
                    <c16:uniqueId val="{0000000A-D52C-4093-A14C-6619F1FE2B82}"/>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Hoja2!$M$16</c15:sqref>
                        </c15:formulaRef>
                      </c:ext>
                    </c:extLst>
                    <c:strCache>
                      <c:ptCount val="1"/>
                      <c:pt idx="0">
                        <c:v>Técnica</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Hoja2!$N$16:$U$16</c15:sqref>
                        </c15:formulaRef>
                      </c:ext>
                    </c:extLst>
                    <c:numCache>
                      <c:formatCode>_-* #,##0_-;\-* #,##0_-;_-* "-"??_-;_-@_-</c:formatCode>
                      <c:ptCount val="8"/>
                      <c:pt idx="0">
                        <c:v>295909</c:v>
                      </c:pt>
                      <c:pt idx="1">
                        <c:v>341146</c:v>
                      </c:pt>
                      <c:pt idx="2">
                        <c:v>289364</c:v>
                      </c:pt>
                      <c:pt idx="3">
                        <c:v>304775</c:v>
                      </c:pt>
                      <c:pt idx="4">
                        <c:v>311624</c:v>
                      </c:pt>
                      <c:pt idx="5">
                        <c:v>307081</c:v>
                      </c:pt>
                      <c:pt idx="6">
                        <c:v>114799</c:v>
                      </c:pt>
                      <c:pt idx="7">
                        <c:v>87761</c:v>
                      </c:pt>
                    </c:numCache>
                  </c:numRef>
                </c:val>
                <c:smooth val="0"/>
                <c:extLst xmlns:c15="http://schemas.microsoft.com/office/drawing/2012/chart">
                  <c:ext xmlns:c16="http://schemas.microsoft.com/office/drawing/2014/chart" uri="{C3380CC4-5D6E-409C-BE32-E72D297353CC}">
                    <c16:uniqueId val="{0000000B-D52C-4093-A14C-6619F1FE2B82}"/>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Hoja2!$M$17</c15:sqref>
                        </c15:formulaRef>
                      </c:ext>
                    </c:extLst>
                    <c:strCache>
                      <c:ptCount val="1"/>
                      <c:pt idx="0">
                        <c:v>Campo de la ciencia</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Hoja2!$N$17:$U$17</c15:sqref>
                        </c15:formulaRef>
                      </c:ext>
                    </c:extLst>
                    <c:numCache>
                      <c:formatCode>General</c:formatCode>
                      <c:ptCount val="8"/>
                    </c:numCache>
                  </c:numRef>
                </c:val>
                <c:smooth val="0"/>
                <c:extLst xmlns:c15="http://schemas.microsoft.com/office/drawing/2012/chart">
                  <c:ext xmlns:c16="http://schemas.microsoft.com/office/drawing/2014/chart" uri="{C3380CC4-5D6E-409C-BE32-E72D297353CC}">
                    <c16:uniqueId val="{0000000C-D52C-4093-A14C-6619F1FE2B82}"/>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Hoja2!$M$18</c15:sqref>
                        </c15:formulaRef>
                      </c:ext>
                    </c:extLst>
                    <c:strCache>
                      <c:ptCount val="1"/>
                      <c:pt idx="0">
                        <c:v>Ciencias naturales y exactas</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Hoja2!$N$18:$U$18</c15:sqref>
                        </c15:formulaRef>
                      </c:ext>
                    </c:extLst>
                    <c:numCache>
                      <c:formatCode>_-* #,##0_-;\-* #,##0_-;_-* "-"??_-;_-@_-</c:formatCode>
                      <c:ptCount val="8"/>
                      <c:pt idx="0">
                        <c:v>205317</c:v>
                      </c:pt>
                      <c:pt idx="1">
                        <c:v>231354</c:v>
                      </c:pt>
                      <c:pt idx="2">
                        <c:v>221162</c:v>
                      </c:pt>
                      <c:pt idx="3">
                        <c:v>22321</c:v>
                      </c:pt>
                      <c:pt idx="4">
                        <c:v>228225</c:v>
                      </c:pt>
                      <c:pt idx="5">
                        <c:v>233155</c:v>
                      </c:pt>
                      <c:pt idx="6">
                        <c:v>308265</c:v>
                      </c:pt>
                      <c:pt idx="7">
                        <c:v>380752</c:v>
                      </c:pt>
                    </c:numCache>
                  </c:numRef>
                </c:val>
                <c:smooth val="0"/>
                <c:extLst xmlns:c15="http://schemas.microsoft.com/office/drawing/2012/chart">
                  <c:ext xmlns:c16="http://schemas.microsoft.com/office/drawing/2014/chart" uri="{C3380CC4-5D6E-409C-BE32-E72D297353CC}">
                    <c16:uniqueId val="{0000000D-D52C-4093-A14C-6619F1FE2B82}"/>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Hoja2!$M$19</c15:sqref>
                        </c15:formulaRef>
                      </c:ext>
                    </c:extLst>
                    <c:strCache>
                      <c:ptCount val="1"/>
                      <c:pt idx="0">
                        <c:v>Ingeniería y tecnología                  </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Hoja2!$N$19:$U$19</c15:sqref>
                        </c15:formulaRef>
                      </c:ext>
                    </c:extLst>
                    <c:numCache>
                      <c:formatCode>_-* #,##0_-;\-* #,##0_-;_-* "-"??_-;_-@_-</c:formatCode>
                      <c:ptCount val="8"/>
                      <c:pt idx="0">
                        <c:v>66628</c:v>
                      </c:pt>
                      <c:pt idx="1">
                        <c:v>706652</c:v>
                      </c:pt>
                      <c:pt idx="2">
                        <c:v>710794</c:v>
                      </c:pt>
                      <c:pt idx="3">
                        <c:v>727177</c:v>
                      </c:pt>
                      <c:pt idx="4">
                        <c:v>743516</c:v>
                      </c:pt>
                      <c:pt idx="5">
                        <c:v>763383</c:v>
                      </c:pt>
                      <c:pt idx="6">
                        <c:v>1198792</c:v>
                      </c:pt>
                      <c:pt idx="7">
                        <c:v>1228070</c:v>
                      </c:pt>
                    </c:numCache>
                  </c:numRef>
                </c:val>
                <c:smooth val="0"/>
                <c:extLst xmlns:c15="http://schemas.microsoft.com/office/drawing/2012/chart">
                  <c:ext xmlns:c16="http://schemas.microsoft.com/office/drawing/2014/chart" uri="{C3380CC4-5D6E-409C-BE32-E72D297353CC}">
                    <c16:uniqueId val="{0000000E-D52C-4093-A14C-6619F1FE2B82}"/>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Hoja2!$M$20</c15:sqref>
                        </c15:formulaRef>
                      </c:ext>
                    </c:extLst>
                    <c:strCache>
                      <c:ptCount val="1"/>
                      <c:pt idx="0">
                        <c:v>Ciencias de la salud                 </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Hoja2!$N$20:$U$20</c15:sqref>
                        </c15:formulaRef>
                      </c:ext>
                    </c:extLst>
                    <c:numCache>
                      <c:formatCode>_-* #,##0_-;\-* #,##0_-;_-* "-"??_-;_-@_-</c:formatCode>
                      <c:ptCount val="8"/>
                      <c:pt idx="0">
                        <c:v>533533</c:v>
                      </c:pt>
                      <c:pt idx="1">
                        <c:v>571059</c:v>
                      </c:pt>
                      <c:pt idx="2">
                        <c:v>5724</c:v>
                      </c:pt>
                      <c:pt idx="3">
                        <c:v>585893</c:v>
                      </c:pt>
                      <c:pt idx="4">
                        <c:v>599058</c:v>
                      </c:pt>
                      <c:pt idx="5">
                        <c:v>616154</c:v>
                      </c:pt>
                      <c:pt idx="6">
                        <c:v>688731</c:v>
                      </c:pt>
                      <c:pt idx="7">
                        <c:v>695154</c:v>
                      </c:pt>
                    </c:numCache>
                  </c:numRef>
                </c:val>
                <c:smooth val="0"/>
                <c:extLst xmlns:c15="http://schemas.microsoft.com/office/drawing/2012/chart">
                  <c:ext xmlns:c16="http://schemas.microsoft.com/office/drawing/2014/chart" uri="{C3380CC4-5D6E-409C-BE32-E72D297353CC}">
                    <c16:uniqueId val="{0000000F-D52C-4093-A14C-6619F1FE2B82}"/>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Hoja2!$M$21</c15:sqref>
                        </c15:formulaRef>
                      </c:ext>
                    </c:extLst>
                    <c:strCache>
                      <c:ptCount val="1"/>
                      <c:pt idx="0">
                        <c:v>Ciencias agropecuarias          </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Hoja2!$N$21:$U$21</c15:sqref>
                        </c15:formulaRef>
                      </c:ext>
                    </c:extLst>
                    <c:numCache>
                      <c:formatCode>_-* #,##0_-;\-* #,##0_-;_-* "-"??_-;_-@_-</c:formatCode>
                      <c:ptCount val="8"/>
                      <c:pt idx="0">
                        <c:v>112872</c:v>
                      </c:pt>
                      <c:pt idx="1">
                        <c:v>135664</c:v>
                      </c:pt>
                      <c:pt idx="2">
                        <c:v>122225</c:v>
                      </c:pt>
                      <c:pt idx="3">
                        <c:v>121028</c:v>
                      </c:pt>
                      <c:pt idx="4">
                        <c:v>123748</c:v>
                      </c:pt>
                      <c:pt idx="5">
                        <c:v>125242</c:v>
                      </c:pt>
                      <c:pt idx="6">
                        <c:v>123445</c:v>
                      </c:pt>
                      <c:pt idx="7">
                        <c:v>126165</c:v>
                      </c:pt>
                    </c:numCache>
                  </c:numRef>
                </c:val>
                <c:smooth val="0"/>
                <c:extLst xmlns:c15="http://schemas.microsoft.com/office/drawing/2012/chart">
                  <c:ext xmlns:c16="http://schemas.microsoft.com/office/drawing/2014/chart" uri="{C3380CC4-5D6E-409C-BE32-E72D297353CC}">
                    <c16:uniqueId val="{00000010-D52C-4093-A14C-6619F1FE2B82}"/>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Hoja2!$M$22</c15:sqref>
                        </c15:formulaRef>
                      </c:ext>
                    </c:extLst>
                    <c:strCache>
                      <c:ptCount val="1"/>
                      <c:pt idx="0">
                        <c:v>Ciencias sociales                    </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Hoja2!$N$22:$U$22</c15:sqref>
                        </c15:formulaRef>
                      </c:ext>
                    </c:extLst>
                    <c:numCache>
                      <c:formatCode>_-* #,##0_-;\-* #,##0_-;_-* "-"??_-;_-@_-</c:formatCode>
                      <c:ptCount val="8"/>
                      <c:pt idx="0">
                        <c:v>2169933</c:v>
                      </c:pt>
                      <c:pt idx="1">
                        <c:v>2254397</c:v>
                      </c:pt>
                      <c:pt idx="2">
                        <c:v>2302630</c:v>
                      </c:pt>
                      <c:pt idx="3">
                        <c:v>2363105</c:v>
                      </c:pt>
                      <c:pt idx="4">
                        <c:v>2416203</c:v>
                      </c:pt>
                      <c:pt idx="5">
                        <c:v>2481628</c:v>
                      </c:pt>
                      <c:pt idx="6">
                        <c:v>3596665</c:v>
                      </c:pt>
                      <c:pt idx="7">
                        <c:v>3721992</c:v>
                      </c:pt>
                    </c:numCache>
                  </c:numRef>
                </c:val>
                <c:smooth val="0"/>
                <c:extLst xmlns:c15="http://schemas.microsoft.com/office/drawing/2012/chart">
                  <c:ext xmlns:c16="http://schemas.microsoft.com/office/drawing/2014/chart" uri="{C3380CC4-5D6E-409C-BE32-E72D297353CC}">
                    <c16:uniqueId val="{00000011-D52C-4093-A14C-6619F1FE2B82}"/>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Hoja2!$M$23</c15:sqref>
                        </c15:formulaRef>
                      </c:ext>
                    </c:extLst>
                    <c:strCache>
                      <c:ptCount val="1"/>
                      <c:pt idx="0">
                        <c:v>Humanidades y otros               </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Hoja2!$N$23:$U$23</c15:sqref>
                        </c15:formulaRef>
                      </c:ext>
                    </c:extLst>
                    <c:numCache>
                      <c:formatCode>_-* #,##0_-;\-* #,##0_-;_-* "-"??_-;_-@_-</c:formatCode>
                      <c:ptCount val="8"/>
                      <c:pt idx="0">
                        <c:v>134367</c:v>
                      </c:pt>
                      <c:pt idx="1">
                        <c:v>160833</c:v>
                      </c:pt>
                      <c:pt idx="2">
                        <c:v>151069</c:v>
                      </c:pt>
                      <c:pt idx="3">
                        <c:v>153546</c:v>
                      </c:pt>
                      <c:pt idx="4">
                        <c:v>156996</c:v>
                      </c:pt>
                      <c:pt idx="5">
                        <c:v>162753</c:v>
                      </c:pt>
                      <c:pt idx="6">
                        <c:v>290608</c:v>
                      </c:pt>
                      <c:pt idx="7">
                        <c:v>239789</c:v>
                      </c:pt>
                    </c:numCache>
                  </c:numRef>
                </c:val>
                <c:smooth val="0"/>
                <c:extLst xmlns:c15="http://schemas.microsoft.com/office/drawing/2012/chart">
                  <c:ext xmlns:c16="http://schemas.microsoft.com/office/drawing/2014/chart" uri="{C3380CC4-5D6E-409C-BE32-E72D297353CC}">
                    <c16:uniqueId val="{00000012-D52C-4093-A14C-6619F1FE2B82}"/>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Hoja2!$M$24</c15:sqref>
                        </c15:formulaRef>
                      </c:ext>
                    </c:extLst>
                    <c:strCache>
                      <c:ptCount val="1"/>
                      <c:pt idx="0">
                        <c:v>No especificado                          </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Hoja2!$N$24:$U$24</c15:sqref>
                        </c15:formulaRef>
                      </c:ext>
                    </c:extLst>
                    <c:numCache>
                      <c:formatCode>_-* #,##0_-;\-* #,##0_-;_-* "-"??_-;_-@_-</c:formatCode>
                      <c:ptCount val="8"/>
                      <c:pt idx="0">
                        <c:v>64764</c:v>
                      </c:pt>
                      <c:pt idx="1">
                        <c:v>67587</c:v>
                      </c:pt>
                      <c:pt idx="2">
                        <c:v>70411</c:v>
                      </c:pt>
                      <c:pt idx="3">
                        <c:v>69125</c:v>
                      </c:pt>
                      <c:pt idx="4">
                        <c:v>70679</c:v>
                      </c:pt>
                      <c:pt idx="5">
                        <c:v>72524</c:v>
                      </c:pt>
                      <c:pt idx="6">
                        <c:v>1493</c:v>
                      </c:pt>
                      <c:pt idx="7">
                        <c:v>1447</c:v>
                      </c:pt>
                    </c:numCache>
                  </c:numRef>
                </c:val>
                <c:smooth val="0"/>
                <c:extLst xmlns:c15="http://schemas.microsoft.com/office/drawing/2012/chart">
                  <c:ext xmlns:c16="http://schemas.microsoft.com/office/drawing/2014/chart" uri="{C3380CC4-5D6E-409C-BE32-E72D297353CC}">
                    <c16:uniqueId val="{00000013-D52C-4093-A14C-6619F1FE2B82}"/>
                  </c:ext>
                </c:extLst>
              </c15:ser>
            </c15:filteredLineSeries>
          </c:ext>
        </c:extLst>
      </c:lineChart>
      <c:catAx>
        <c:axId val="38408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384089976"/>
        <c:crosses val="autoZero"/>
        <c:auto val="1"/>
        <c:lblAlgn val="ctr"/>
        <c:lblOffset val="100"/>
        <c:noMultiLvlLbl val="0"/>
      </c:catAx>
      <c:valAx>
        <c:axId val="38408997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384087680"/>
        <c:crosses val="autoZero"/>
        <c:crossBetween val="between"/>
      </c:valAx>
      <c:spPr>
        <a:noFill/>
        <a:ln>
          <a:noFill/>
        </a:ln>
        <a:effectLst/>
      </c:spPr>
    </c:plotArea>
    <c:legend>
      <c:legendPos val="b"/>
      <c:layout>
        <c:manualLayout>
          <c:xMode val="edge"/>
          <c:yMode val="edge"/>
          <c:x val="0.23242949917629813"/>
          <c:y val="0.91584935220173602"/>
          <c:w val="0.53514084670169793"/>
          <c:h val="6.40358623396374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37387409058593"/>
          <c:y val="0.10149609361840271"/>
          <c:w val="0.8433814466594004"/>
          <c:h val="0.67961025000229702"/>
        </c:manualLayout>
      </c:layout>
      <c:lineChart>
        <c:grouping val="standard"/>
        <c:varyColors val="0"/>
        <c:ser>
          <c:idx val="9"/>
          <c:order val="9"/>
          <c:tx>
            <c:strRef>
              <c:f>Hoja2!$M$14</c:f>
              <c:strCache>
                <c:ptCount val="1"/>
                <c:pt idx="0">
                  <c:v>Posgrado</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Hoja2!$N$4:$U$4</c:f>
              <c:strCache>
                <c:ptCount val="8"/>
                <c:pt idx="0">
                  <c:v>2010</c:v>
                </c:pt>
                <c:pt idx="1">
                  <c:v>2011</c:v>
                </c:pt>
                <c:pt idx="2">
                  <c:v>2012</c:v>
                </c:pt>
                <c:pt idx="3">
                  <c:v>2013</c:v>
                </c:pt>
                <c:pt idx="4">
                  <c:v>2014/e</c:v>
                </c:pt>
                <c:pt idx="5">
                  <c:v>2015/e</c:v>
                </c:pt>
                <c:pt idx="6">
                  <c:v>2016</c:v>
                </c:pt>
                <c:pt idx="7">
                  <c:v>2017</c:v>
                </c:pt>
              </c:strCache>
            </c:strRef>
          </c:cat>
          <c:val>
            <c:numRef>
              <c:f>Hoja2!$N$14:$U$14</c:f>
              <c:numCache>
                <c:formatCode>_-* #,##0_-;\-* #,##0_-;_-* "-"??_-;_-@_-</c:formatCode>
                <c:ptCount val="8"/>
                <c:pt idx="0">
                  <c:v>41704</c:v>
                </c:pt>
                <c:pt idx="1">
                  <c:v>488525</c:v>
                </c:pt>
                <c:pt idx="2">
                  <c:v>440101</c:v>
                </c:pt>
                <c:pt idx="3">
                  <c:v>461745</c:v>
                </c:pt>
                <c:pt idx="4">
                  <c:v>47212</c:v>
                </c:pt>
                <c:pt idx="5">
                  <c:v>480921</c:v>
                </c:pt>
                <c:pt idx="6">
                  <c:v>720803</c:v>
                </c:pt>
                <c:pt idx="7">
                  <c:v>729894</c:v>
                </c:pt>
              </c:numCache>
            </c:numRef>
          </c:val>
          <c:smooth val="0"/>
          <c:extLst>
            <c:ext xmlns:c16="http://schemas.microsoft.com/office/drawing/2014/chart" uri="{C3380CC4-5D6E-409C-BE32-E72D297353CC}">
              <c16:uniqueId val="{00000000-BE71-41C8-AC0D-64C55D54204C}"/>
            </c:ext>
          </c:extLst>
        </c:ser>
        <c:ser>
          <c:idx val="10"/>
          <c:order val="10"/>
          <c:tx>
            <c:strRef>
              <c:f>Hoja2!$M$15</c:f>
              <c:strCache>
                <c:ptCount val="1"/>
                <c:pt idx="0">
                  <c:v>Licenciatura</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Hoja2!$N$4:$U$4</c:f>
              <c:strCache>
                <c:ptCount val="8"/>
                <c:pt idx="0">
                  <c:v>2010</c:v>
                </c:pt>
                <c:pt idx="1">
                  <c:v>2011</c:v>
                </c:pt>
                <c:pt idx="2">
                  <c:v>2012</c:v>
                </c:pt>
                <c:pt idx="3">
                  <c:v>2013</c:v>
                </c:pt>
                <c:pt idx="4">
                  <c:v>2014/e</c:v>
                </c:pt>
                <c:pt idx="5">
                  <c:v>2015/e</c:v>
                </c:pt>
                <c:pt idx="6">
                  <c:v>2016</c:v>
                </c:pt>
                <c:pt idx="7">
                  <c:v>2017</c:v>
                </c:pt>
              </c:strCache>
            </c:strRef>
          </c:cat>
          <c:val>
            <c:numRef>
              <c:f>Hoja2!$N$15:$U$15</c:f>
              <c:numCache>
                <c:formatCode>_-* #,##0_-;\-* #,##0_-;_-* "-"??_-;_-@_-</c:formatCode>
                <c:ptCount val="8"/>
                <c:pt idx="0">
                  <c:v>3174117</c:v>
                </c:pt>
                <c:pt idx="1">
                  <c:v>3297875</c:v>
                </c:pt>
                <c:pt idx="2">
                  <c:v>3421180</c:v>
                </c:pt>
                <c:pt idx="3">
                  <c:v>3476564</c:v>
                </c:pt>
                <c:pt idx="4">
                  <c:v>3554681</c:v>
                </c:pt>
                <c:pt idx="5">
                  <c:v>3666829</c:v>
                </c:pt>
                <c:pt idx="6">
                  <c:v>5385834</c:v>
                </c:pt>
                <c:pt idx="7">
                  <c:v>5588737</c:v>
                </c:pt>
              </c:numCache>
            </c:numRef>
          </c:val>
          <c:smooth val="0"/>
          <c:extLst>
            <c:ext xmlns:c16="http://schemas.microsoft.com/office/drawing/2014/chart" uri="{C3380CC4-5D6E-409C-BE32-E72D297353CC}">
              <c16:uniqueId val="{00000001-BE71-41C8-AC0D-64C55D54204C}"/>
            </c:ext>
          </c:extLst>
        </c:ser>
        <c:ser>
          <c:idx val="11"/>
          <c:order val="11"/>
          <c:tx>
            <c:strRef>
              <c:f>Hoja2!$M$16</c:f>
              <c:strCache>
                <c:ptCount val="1"/>
                <c:pt idx="0">
                  <c:v>Técnica</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Hoja2!$N$4:$U$4</c:f>
              <c:strCache>
                <c:ptCount val="8"/>
                <c:pt idx="0">
                  <c:v>2010</c:v>
                </c:pt>
                <c:pt idx="1">
                  <c:v>2011</c:v>
                </c:pt>
                <c:pt idx="2">
                  <c:v>2012</c:v>
                </c:pt>
                <c:pt idx="3">
                  <c:v>2013</c:v>
                </c:pt>
                <c:pt idx="4">
                  <c:v>2014/e</c:v>
                </c:pt>
                <c:pt idx="5">
                  <c:v>2015/e</c:v>
                </c:pt>
                <c:pt idx="6">
                  <c:v>2016</c:v>
                </c:pt>
                <c:pt idx="7">
                  <c:v>2017</c:v>
                </c:pt>
              </c:strCache>
            </c:strRef>
          </c:cat>
          <c:val>
            <c:numRef>
              <c:f>Hoja2!$N$16:$U$16</c:f>
              <c:numCache>
                <c:formatCode>_-* #,##0_-;\-* #,##0_-;_-* "-"??_-;_-@_-</c:formatCode>
                <c:ptCount val="8"/>
                <c:pt idx="0">
                  <c:v>295909</c:v>
                </c:pt>
                <c:pt idx="1">
                  <c:v>341146</c:v>
                </c:pt>
                <c:pt idx="2">
                  <c:v>289364</c:v>
                </c:pt>
                <c:pt idx="3">
                  <c:v>304775</c:v>
                </c:pt>
                <c:pt idx="4">
                  <c:v>311624</c:v>
                </c:pt>
                <c:pt idx="5">
                  <c:v>307081</c:v>
                </c:pt>
                <c:pt idx="6">
                  <c:v>114799</c:v>
                </c:pt>
                <c:pt idx="7">
                  <c:v>87761</c:v>
                </c:pt>
              </c:numCache>
            </c:numRef>
          </c:val>
          <c:smooth val="0"/>
          <c:extLst>
            <c:ext xmlns:c16="http://schemas.microsoft.com/office/drawing/2014/chart" uri="{C3380CC4-5D6E-409C-BE32-E72D297353CC}">
              <c16:uniqueId val="{00000002-BE71-41C8-AC0D-64C55D54204C}"/>
            </c:ext>
          </c:extLst>
        </c:ser>
        <c:dLbls>
          <c:showLegendKey val="0"/>
          <c:showVal val="0"/>
          <c:showCatName val="0"/>
          <c:showSerName val="0"/>
          <c:showPercent val="0"/>
          <c:showBubbleSize val="0"/>
        </c:dLbls>
        <c:marker val="1"/>
        <c:smooth val="0"/>
        <c:axId val="384087680"/>
        <c:axId val="384089976"/>
        <c:extLst>
          <c:ext xmlns:c15="http://schemas.microsoft.com/office/drawing/2012/chart" uri="{02D57815-91ED-43cb-92C2-25804820EDAC}">
            <c15:filteredLineSeries>
              <c15:ser>
                <c:idx val="0"/>
                <c:order val="0"/>
                <c:tx>
                  <c:strRef>
                    <c:extLst>
                      <c:ext uri="{02D57815-91ED-43cb-92C2-25804820EDAC}">
                        <c15:formulaRef>
                          <c15:sqref>Hoja2!$M$5</c15:sqref>
                        </c15:formulaRef>
                      </c:ext>
                    </c:extLst>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c:ext uri="{02D57815-91ED-43cb-92C2-25804820EDAC}">
                        <c15:formulaRef>
                          <c15:sqref>Hoja2!$N$5:$U$5</c15:sqref>
                        </c15:formulaRef>
                      </c:ext>
                    </c:extLst>
                    <c:numCache>
                      <c:formatCode>_-* #,##0_-;\-* #,##0_-;_-* "-"??_-;_-@_-</c:formatCode>
                      <c:ptCount val="8"/>
                      <c:pt idx="0">
                        <c:v>3887066</c:v>
                      </c:pt>
                      <c:pt idx="1">
                        <c:v>4127546</c:v>
                      </c:pt>
                      <c:pt idx="2">
                        <c:v>4150646</c:v>
                      </c:pt>
                      <c:pt idx="3">
                        <c:v>4243085</c:v>
                      </c:pt>
                      <c:pt idx="4">
                        <c:v>4338425</c:v>
                      </c:pt>
                      <c:pt idx="5">
                        <c:v>4454831</c:v>
                      </c:pt>
                      <c:pt idx="6">
                        <c:v>6221436</c:v>
                      </c:pt>
                      <c:pt idx="7">
                        <c:v>6406392</c:v>
                      </c:pt>
                    </c:numCache>
                  </c:numRef>
                </c:val>
                <c:smooth val="0"/>
                <c:extLst>
                  <c:ext xmlns:c16="http://schemas.microsoft.com/office/drawing/2014/chart" uri="{C3380CC4-5D6E-409C-BE32-E72D297353CC}">
                    <c16:uniqueId val="{00000003-BE71-41C8-AC0D-64C55D54204C}"/>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Hoja2!$M$6</c15:sqref>
                        </c15:formulaRef>
                      </c:ext>
                    </c:extLst>
                    <c:strCache>
                      <c:ptCount val="1"/>
                      <c:pt idx="0">
                        <c:v>Género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Hoja2!$N$6:$U$6</c15:sqref>
                        </c15:formulaRef>
                      </c:ext>
                    </c:extLst>
                    <c:numCache>
                      <c:formatCode>General</c:formatCode>
                      <c:ptCount val="8"/>
                    </c:numCache>
                  </c:numRef>
                </c:val>
                <c:smooth val="0"/>
                <c:extLst xmlns:c15="http://schemas.microsoft.com/office/drawing/2012/chart">
                  <c:ext xmlns:c16="http://schemas.microsoft.com/office/drawing/2014/chart" uri="{C3380CC4-5D6E-409C-BE32-E72D297353CC}">
                    <c16:uniqueId val="{00000004-BE71-41C8-AC0D-64C55D54204C}"/>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Hoja2!$M$7</c15:sqref>
                        </c15:formulaRef>
                      </c:ext>
                    </c:extLst>
                    <c:strCache>
                      <c:ptCount val="1"/>
                      <c:pt idx="0">
                        <c:v>Hombres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Hoja2!$N$7:$U$7</c15:sqref>
                        </c15:formulaRef>
                      </c:ext>
                    </c:extLst>
                    <c:numCache>
                      <c:formatCode>_-* #,##0_-;\-* #,##0_-;_-* "-"??_-;_-@_-</c:formatCode>
                      <c:ptCount val="8"/>
                      <c:pt idx="0">
                        <c:v>2059544</c:v>
                      </c:pt>
                      <c:pt idx="1">
                        <c:v>2168766</c:v>
                      </c:pt>
                      <c:pt idx="2">
                        <c:v>2169297</c:v>
                      </c:pt>
                      <c:pt idx="3">
                        <c:v>2204498</c:v>
                      </c:pt>
                      <c:pt idx="4">
                        <c:v>2387045</c:v>
                      </c:pt>
                      <c:pt idx="5">
                        <c:v>2405050</c:v>
                      </c:pt>
                      <c:pt idx="6">
                        <c:v>3267960</c:v>
                      </c:pt>
                      <c:pt idx="7">
                        <c:v>3318031</c:v>
                      </c:pt>
                    </c:numCache>
                  </c:numRef>
                </c:val>
                <c:smooth val="0"/>
                <c:extLst xmlns:c15="http://schemas.microsoft.com/office/drawing/2012/chart">
                  <c:ext xmlns:c16="http://schemas.microsoft.com/office/drawing/2014/chart" uri="{C3380CC4-5D6E-409C-BE32-E72D297353CC}">
                    <c16:uniqueId val="{00000005-BE71-41C8-AC0D-64C55D54204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Hoja2!$M$8</c15:sqref>
                        </c15:formulaRef>
                      </c:ext>
                    </c:extLst>
                    <c:strCache>
                      <c:ptCount val="1"/>
                      <c:pt idx="0">
                        <c:v>Mujeres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Hoja2!$N$8:$U$8</c15:sqref>
                        </c15:formulaRef>
                      </c:ext>
                    </c:extLst>
                    <c:numCache>
                      <c:formatCode>_-* #,##0_-;\-* #,##0_-;_-* "-"??_-;_-@_-</c:formatCode>
                      <c:ptCount val="8"/>
                      <c:pt idx="0">
                        <c:v>1827522</c:v>
                      </c:pt>
                      <c:pt idx="1">
                        <c:v>1958780</c:v>
                      </c:pt>
                      <c:pt idx="2">
                        <c:v>1981349</c:v>
                      </c:pt>
                      <c:pt idx="3">
                        <c:v>2038587</c:v>
                      </c:pt>
                      <c:pt idx="4">
                        <c:v>1951380</c:v>
                      </c:pt>
                      <c:pt idx="5">
                        <c:v>2049780</c:v>
                      </c:pt>
                      <c:pt idx="6">
                        <c:v>2953476</c:v>
                      </c:pt>
                      <c:pt idx="7">
                        <c:v>3088361</c:v>
                      </c:pt>
                    </c:numCache>
                  </c:numRef>
                </c:val>
                <c:smooth val="0"/>
                <c:extLst xmlns:c15="http://schemas.microsoft.com/office/drawing/2012/chart">
                  <c:ext xmlns:c16="http://schemas.microsoft.com/office/drawing/2014/chart" uri="{C3380CC4-5D6E-409C-BE32-E72D297353CC}">
                    <c16:uniqueId val="{00000006-BE71-41C8-AC0D-64C55D54204C}"/>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Hoja2!$M$9</c15:sqref>
                        </c15:formulaRef>
                      </c:ext>
                    </c:extLst>
                    <c:strCache>
                      <c:ptCount val="1"/>
                      <c:pt idx="0">
                        <c:v>Ocupación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Hoja2!$N$9:$U$9</c15:sqref>
                        </c15:formulaRef>
                      </c:ext>
                    </c:extLst>
                    <c:numCache>
                      <c:formatCode>General</c:formatCode>
                      <c:ptCount val="8"/>
                    </c:numCache>
                  </c:numRef>
                </c:val>
                <c:smooth val="0"/>
                <c:extLst xmlns:c15="http://schemas.microsoft.com/office/drawing/2012/chart">
                  <c:ext xmlns:c16="http://schemas.microsoft.com/office/drawing/2014/chart" uri="{C3380CC4-5D6E-409C-BE32-E72D297353CC}">
                    <c16:uniqueId val="{00000007-BE71-41C8-AC0D-64C55D54204C}"/>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Hoja2!$M$10</c15:sqref>
                        </c15:formulaRef>
                      </c:ext>
                    </c:extLst>
                    <c:strCache>
                      <c:ptCount val="1"/>
                      <c:pt idx="0">
                        <c:v>Directivos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Hoja2!$N$10:$U$10</c15:sqref>
                        </c15:formulaRef>
                      </c:ext>
                    </c:extLst>
                    <c:numCache>
                      <c:formatCode>_-* #,##0_-;\-* #,##0_-;_-* "-"??_-;_-@_-</c:formatCode>
                      <c:ptCount val="8"/>
                      <c:pt idx="0">
                        <c:v>577755</c:v>
                      </c:pt>
                      <c:pt idx="1">
                        <c:v>621243</c:v>
                      </c:pt>
                      <c:pt idx="2">
                        <c:v>600242</c:v>
                      </c:pt>
                      <c:pt idx="3">
                        <c:v>602353</c:v>
                      </c:pt>
                      <c:pt idx="4">
                        <c:v>615888</c:v>
                      </c:pt>
                      <c:pt idx="5">
                        <c:v>620709</c:v>
                      </c:pt>
                      <c:pt idx="6">
                        <c:v>574286</c:v>
                      </c:pt>
                      <c:pt idx="7">
                        <c:v>573903</c:v>
                      </c:pt>
                    </c:numCache>
                  </c:numRef>
                </c:val>
                <c:smooth val="0"/>
                <c:extLst xmlns:c15="http://schemas.microsoft.com/office/drawing/2012/chart">
                  <c:ext xmlns:c16="http://schemas.microsoft.com/office/drawing/2014/chart" uri="{C3380CC4-5D6E-409C-BE32-E72D297353CC}">
                    <c16:uniqueId val="{00000008-BE71-41C8-AC0D-64C55D54204C}"/>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Hoja2!$M$11</c15:sqref>
                        </c15:formulaRef>
                      </c:ext>
                    </c:extLst>
                    <c:strCache>
                      <c:ptCount val="1"/>
                      <c:pt idx="0">
                        <c:v>Profesionales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Hoja2!$N$11:$U$11</c15:sqref>
                        </c15:formulaRef>
                      </c:ext>
                    </c:extLst>
                    <c:numCache>
                      <c:formatCode>_-* #,##0_-;\-* #,##0_-;_-* "-"??_-;_-@_-</c:formatCode>
                      <c:ptCount val="8"/>
                      <c:pt idx="0">
                        <c:v>2924272</c:v>
                      </c:pt>
                      <c:pt idx="1">
                        <c:v>3066337</c:v>
                      </c:pt>
                      <c:pt idx="2">
                        <c:v>3129105</c:v>
                      </c:pt>
                      <c:pt idx="3">
                        <c:v>3214986</c:v>
                      </c:pt>
                      <c:pt idx="4">
                        <c:v>3287225</c:v>
                      </c:pt>
                      <c:pt idx="5">
                        <c:v>3386751</c:v>
                      </c:pt>
                      <c:pt idx="6">
                        <c:v>4136642</c:v>
                      </c:pt>
                      <c:pt idx="7">
                        <c:v>4322317</c:v>
                      </c:pt>
                    </c:numCache>
                  </c:numRef>
                </c:val>
                <c:smooth val="0"/>
                <c:extLst xmlns:c15="http://schemas.microsoft.com/office/drawing/2012/chart">
                  <c:ext xmlns:c16="http://schemas.microsoft.com/office/drawing/2014/chart" uri="{C3380CC4-5D6E-409C-BE32-E72D297353CC}">
                    <c16:uniqueId val="{00000009-BE71-41C8-AC0D-64C55D54204C}"/>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Hoja2!$M$12</c15:sqref>
                        </c15:formulaRef>
                      </c:ext>
                    </c:extLst>
                    <c:strCache>
                      <c:ptCount val="1"/>
                      <c:pt idx="0">
                        <c:v>Técnicos</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Hoja2!$N$12:$U$12</c15:sqref>
                        </c15:formulaRef>
                      </c:ext>
                    </c:extLst>
                    <c:numCache>
                      <c:formatCode>_-* #,##0_-;\-* #,##0_-;_-* "-"??_-;_-@_-</c:formatCode>
                      <c:ptCount val="8"/>
                      <c:pt idx="0">
                        <c:v>385039</c:v>
                      </c:pt>
                      <c:pt idx="1">
                        <c:v>439966</c:v>
                      </c:pt>
                      <c:pt idx="2">
                        <c:v>421299</c:v>
                      </c:pt>
                      <c:pt idx="3">
                        <c:v>425746</c:v>
                      </c:pt>
                      <c:pt idx="4">
                        <c:v>435312</c:v>
                      </c:pt>
                      <c:pt idx="5">
                        <c:v>44737</c:v>
                      </c:pt>
                      <c:pt idx="6">
                        <c:v>1510508</c:v>
                      </c:pt>
                      <c:pt idx="7">
                        <c:v>1510172</c:v>
                      </c:pt>
                    </c:numCache>
                  </c:numRef>
                </c:val>
                <c:smooth val="0"/>
                <c:extLst xmlns:c15="http://schemas.microsoft.com/office/drawing/2012/chart">
                  <c:ext xmlns:c16="http://schemas.microsoft.com/office/drawing/2014/chart" uri="{C3380CC4-5D6E-409C-BE32-E72D297353CC}">
                    <c16:uniqueId val="{0000000A-BE71-41C8-AC0D-64C55D54204C}"/>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Hoja2!$M$13</c15:sqref>
                        </c15:formulaRef>
                      </c:ext>
                    </c:extLst>
                    <c:strCache>
                      <c:ptCount val="1"/>
                      <c:pt idx="0">
                        <c:v>Educación</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Hoja2!$N$13:$U$13</c15:sqref>
                        </c15:formulaRef>
                      </c:ext>
                    </c:extLst>
                    <c:numCache>
                      <c:formatCode>General</c:formatCode>
                      <c:ptCount val="8"/>
                    </c:numCache>
                  </c:numRef>
                </c:val>
                <c:smooth val="0"/>
                <c:extLst xmlns:c15="http://schemas.microsoft.com/office/drawing/2012/chart">
                  <c:ext xmlns:c16="http://schemas.microsoft.com/office/drawing/2014/chart" uri="{C3380CC4-5D6E-409C-BE32-E72D297353CC}">
                    <c16:uniqueId val="{0000000B-BE71-41C8-AC0D-64C55D54204C}"/>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Hoja2!$M$17</c15:sqref>
                        </c15:formulaRef>
                      </c:ext>
                    </c:extLst>
                    <c:strCache>
                      <c:ptCount val="1"/>
                      <c:pt idx="0">
                        <c:v>Campo de la ciencia</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Hoja2!$N$17:$U$17</c15:sqref>
                        </c15:formulaRef>
                      </c:ext>
                    </c:extLst>
                    <c:numCache>
                      <c:formatCode>General</c:formatCode>
                      <c:ptCount val="8"/>
                    </c:numCache>
                  </c:numRef>
                </c:val>
                <c:smooth val="0"/>
                <c:extLst xmlns:c15="http://schemas.microsoft.com/office/drawing/2012/chart">
                  <c:ext xmlns:c16="http://schemas.microsoft.com/office/drawing/2014/chart" uri="{C3380CC4-5D6E-409C-BE32-E72D297353CC}">
                    <c16:uniqueId val="{0000000C-BE71-41C8-AC0D-64C55D54204C}"/>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Hoja2!$M$18</c15:sqref>
                        </c15:formulaRef>
                      </c:ext>
                    </c:extLst>
                    <c:strCache>
                      <c:ptCount val="1"/>
                      <c:pt idx="0">
                        <c:v>Ciencias naturales y exactas</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Hoja2!$N$18:$U$18</c15:sqref>
                        </c15:formulaRef>
                      </c:ext>
                    </c:extLst>
                    <c:numCache>
                      <c:formatCode>_-* #,##0_-;\-* #,##0_-;_-* "-"??_-;_-@_-</c:formatCode>
                      <c:ptCount val="8"/>
                      <c:pt idx="0">
                        <c:v>205317</c:v>
                      </c:pt>
                      <c:pt idx="1">
                        <c:v>231354</c:v>
                      </c:pt>
                      <c:pt idx="2">
                        <c:v>221162</c:v>
                      </c:pt>
                      <c:pt idx="3">
                        <c:v>22321</c:v>
                      </c:pt>
                      <c:pt idx="4">
                        <c:v>228225</c:v>
                      </c:pt>
                      <c:pt idx="5">
                        <c:v>233155</c:v>
                      </c:pt>
                      <c:pt idx="6">
                        <c:v>308265</c:v>
                      </c:pt>
                      <c:pt idx="7">
                        <c:v>380752</c:v>
                      </c:pt>
                    </c:numCache>
                  </c:numRef>
                </c:val>
                <c:smooth val="0"/>
                <c:extLst xmlns:c15="http://schemas.microsoft.com/office/drawing/2012/chart">
                  <c:ext xmlns:c16="http://schemas.microsoft.com/office/drawing/2014/chart" uri="{C3380CC4-5D6E-409C-BE32-E72D297353CC}">
                    <c16:uniqueId val="{0000000D-BE71-41C8-AC0D-64C55D54204C}"/>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Hoja2!$M$19</c15:sqref>
                        </c15:formulaRef>
                      </c:ext>
                    </c:extLst>
                    <c:strCache>
                      <c:ptCount val="1"/>
                      <c:pt idx="0">
                        <c:v>Ingeniería y tecnología                  </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Hoja2!$N$19:$U$19</c15:sqref>
                        </c15:formulaRef>
                      </c:ext>
                    </c:extLst>
                    <c:numCache>
                      <c:formatCode>_-* #,##0_-;\-* #,##0_-;_-* "-"??_-;_-@_-</c:formatCode>
                      <c:ptCount val="8"/>
                      <c:pt idx="0">
                        <c:v>66628</c:v>
                      </c:pt>
                      <c:pt idx="1">
                        <c:v>706652</c:v>
                      </c:pt>
                      <c:pt idx="2">
                        <c:v>710794</c:v>
                      </c:pt>
                      <c:pt idx="3">
                        <c:v>727177</c:v>
                      </c:pt>
                      <c:pt idx="4">
                        <c:v>743516</c:v>
                      </c:pt>
                      <c:pt idx="5">
                        <c:v>763383</c:v>
                      </c:pt>
                      <c:pt idx="6">
                        <c:v>1198792</c:v>
                      </c:pt>
                      <c:pt idx="7">
                        <c:v>1228070</c:v>
                      </c:pt>
                    </c:numCache>
                  </c:numRef>
                </c:val>
                <c:smooth val="0"/>
                <c:extLst xmlns:c15="http://schemas.microsoft.com/office/drawing/2012/chart">
                  <c:ext xmlns:c16="http://schemas.microsoft.com/office/drawing/2014/chart" uri="{C3380CC4-5D6E-409C-BE32-E72D297353CC}">
                    <c16:uniqueId val="{0000000E-BE71-41C8-AC0D-64C55D54204C}"/>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Hoja2!$M$20</c15:sqref>
                        </c15:formulaRef>
                      </c:ext>
                    </c:extLst>
                    <c:strCache>
                      <c:ptCount val="1"/>
                      <c:pt idx="0">
                        <c:v>Ciencias de la salud                 </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Hoja2!$N$20:$U$20</c15:sqref>
                        </c15:formulaRef>
                      </c:ext>
                    </c:extLst>
                    <c:numCache>
                      <c:formatCode>_-* #,##0_-;\-* #,##0_-;_-* "-"??_-;_-@_-</c:formatCode>
                      <c:ptCount val="8"/>
                      <c:pt idx="0">
                        <c:v>533533</c:v>
                      </c:pt>
                      <c:pt idx="1">
                        <c:v>571059</c:v>
                      </c:pt>
                      <c:pt idx="2">
                        <c:v>5724</c:v>
                      </c:pt>
                      <c:pt idx="3">
                        <c:v>585893</c:v>
                      </c:pt>
                      <c:pt idx="4">
                        <c:v>599058</c:v>
                      </c:pt>
                      <c:pt idx="5">
                        <c:v>616154</c:v>
                      </c:pt>
                      <c:pt idx="6">
                        <c:v>688731</c:v>
                      </c:pt>
                      <c:pt idx="7">
                        <c:v>695154</c:v>
                      </c:pt>
                    </c:numCache>
                  </c:numRef>
                </c:val>
                <c:smooth val="0"/>
                <c:extLst xmlns:c15="http://schemas.microsoft.com/office/drawing/2012/chart">
                  <c:ext xmlns:c16="http://schemas.microsoft.com/office/drawing/2014/chart" uri="{C3380CC4-5D6E-409C-BE32-E72D297353CC}">
                    <c16:uniqueId val="{0000000F-BE71-41C8-AC0D-64C55D54204C}"/>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Hoja2!$M$21</c15:sqref>
                        </c15:formulaRef>
                      </c:ext>
                    </c:extLst>
                    <c:strCache>
                      <c:ptCount val="1"/>
                      <c:pt idx="0">
                        <c:v>Ciencias agropecuarias          </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Hoja2!$N$21:$U$21</c15:sqref>
                        </c15:formulaRef>
                      </c:ext>
                    </c:extLst>
                    <c:numCache>
                      <c:formatCode>_-* #,##0_-;\-* #,##0_-;_-* "-"??_-;_-@_-</c:formatCode>
                      <c:ptCount val="8"/>
                      <c:pt idx="0">
                        <c:v>112872</c:v>
                      </c:pt>
                      <c:pt idx="1">
                        <c:v>135664</c:v>
                      </c:pt>
                      <c:pt idx="2">
                        <c:v>122225</c:v>
                      </c:pt>
                      <c:pt idx="3">
                        <c:v>121028</c:v>
                      </c:pt>
                      <c:pt idx="4">
                        <c:v>123748</c:v>
                      </c:pt>
                      <c:pt idx="5">
                        <c:v>125242</c:v>
                      </c:pt>
                      <c:pt idx="6">
                        <c:v>123445</c:v>
                      </c:pt>
                      <c:pt idx="7">
                        <c:v>126165</c:v>
                      </c:pt>
                    </c:numCache>
                  </c:numRef>
                </c:val>
                <c:smooth val="0"/>
                <c:extLst xmlns:c15="http://schemas.microsoft.com/office/drawing/2012/chart">
                  <c:ext xmlns:c16="http://schemas.microsoft.com/office/drawing/2014/chart" uri="{C3380CC4-5D6E-409C-BE32-E72D297353CC}">
                    <c16:uniqueId val="{00000010-BE71-41C8-AC0D-64C55D54204C}"/>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Hoja2!$M$22</c15:sqref>
                        </c15:formulaRef>
                      </c:ext>
                    </c:extLst>
                    <c:strCache>
                      <c:ptCount val="1"/>
                      <c:pt idx="0">
                        <c:v>Ciencias sociales                    </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Hoja2!$N$22:$U$22</c15:sqref>
                        </c15:formulaRef>
                      </c:ext>
                    </c:extLst>
                    <c:numCache>
                      <c:formatCode>_-* #,##0_-;\-* #,##0_-;_-* "-"??_-;_-@_-</c:formatCode>
                      <c:ptCount val="8"/>
                      <c:pt idx="0">
                        <c:v>2169933</c:v>
                      </c:pt>
                      <c:pt idx="1">
                        <c:v>2254397</c:v>
                      </c:pt>
                      <c:pt idx="2">
                        <c:v>2302630</c:v>
                      </c:pt>
                      <c:pt idx="3">
                        <c:v>2363105</c:v>
                      </c:pt>
                      <c:pt idx="4">
                        <c:v>2416203</c:v>
                      </c:pt>
                      <c:pt idx="5">
                        <c:v>2481628</c:v>
                      </c:pt>
                      <c:pt idx="6">
                        <c:v>3596665</c:v>
                      </c:pt>
                      <c:pt idx="7">
                        <c:v>3721992</c:v>
                      </c:pt>
                    </c:numCache>
                  </c:numRef>
                </c:val>
                <c:smooth val="0"/>
                <c:extLst xmlns:c15="http://schemas.microsoft.com/office/drawing/2012/chart">
                  <c:ext xmlns:c16="http://schemas.microsoft.com/office/drawing/2014/chart" uri="{C3380CC4-5D6E-409C-BE32-E72D297353CC}">
                    <c16:uniqueId val="{00000011-BE71-41C8-AC0D-64C55D54204C}"/>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Hoja2!$M$23</c15:sqref>
                        </c15:formulaRef>
                      </c:ext>
                    </c:extLst>
                    <c:strCache>
                      <c:ptCount val="1"/>
                      <c:pt idx="0">
                        <c:v>Humanidades y otros               </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Hoja2!$N$23:$U$23</c15:sqref>
                        </c15:formulaRef>
                      </c:ext>
                    </c:extLst>
                    <c:numCache>
                      <c:formatCode>_-* #,##0_-;\-* #,##0_-;_-* "-"??_-;_-@_-</c:formatCode>
                      <c:ptCount val="8"/>
                      <c:pt idx="0">
                        <c:v>134367</c:v>
                      </c:pt>
                      <c:pt idx="1">
                        <c:v>160833</c:v>
                      </c:pt>
                      <c:pt idx="2">
                        <c:v>151069</c:v>
                      </c:pt>
                      <c:pt idx="3">
                        <c:v>153546</c:v>
                      </c:pt>
                      <c:pt idx="4">
                        <c:v>156996</c:v>
                      </c:pt>
                      <c:pt idx="5">
                        <c:v>162753</c:v>
                      </c:pt>
                      <c:pt idx="6">
                        <c:v>290608</c:v>
                      </c:pt>
                      <c:pt idx="7">
                        <c:v>239789</c:v>
                      </c:pt>
                    </c:numCache>
                  </c:numRef>
                </c:val>
                <c:smooth val="0"/>
                <c:extLst xmlns:c15="http://schemas.microsoft.com/office/drawing/2012/chart">
                  <c:ext xmlns:c16="http://schemas.microsoft.com/office/drawing/2014/chart" uri="{C3380CC4-5D6E-409C-BE32-E72D297353CC}">
                    <c16:uniqueId val="{00000012-BE71-41C8-AC0D-64C55D54204C}"/>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Hoja2!$M$24</c15:sqref>
                        </c15:formulaRef>
                      </c:ext>
                    </c:extLst>
                    <c:strCache>
                      <c:ptCount val="1"/>
                      <c:pt idx="0">
                        <c:v>No especificado                          </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Hoja2!$N$4:$U$4</c15:sqref>
                        </c15:formulaRef>
                      </c:ext>
                    </c:extLst>
                    <c:strCache>
                      <c:ptCount val="8"/>
                      <c:pt idx="0">
                        <c:v>2010</c:v>
                      </c:pt>
                      <c:pt idx="1">
                        <c:v>2011</c:v>
                      </c:pt>
                      <c:pt idx="2">
                        <c:v>2012</c:v>
                      </c:pt>
                      <c:pt idx="3">
                        <c:v>2013</c:v>
                      </c:pt>
                      <c:pt idx="4">
                        <c:v>2014/e</c:v>
                      </c:pt>
                      <c:pt idx="5">
                        <c:v>2015/e</c:v>
                      </c:pt>
                      <c:pt idx="6">
                        <c:v>2016</c:v>
                      </c:pt>
                      <c:pt idx="7">
                        <c:v>2017</c:v>
                      </c:pt>
                    </c:strCache>
                  </c:strRef>
                </c:cat>
                <c:val>
                  <c:numRef>
                    <c:extLst xmlns:c15="http://schemas.microsoft.com/office/drawing/2012/chart">
                      <c:ext xmlns:c15="http://schemas.microsoft.com/office/drawing/2012/chart" uri="{02D57815-91ED-43cb-92C2-25804820EDAC}">
                        <c15:formulaRef>
                          <c15:sqref>Hoja2!$N$24:$U$24</c15:sqref>
                        </c15:formulaRef>
                      </c:ext>
                    </c:extLst>
                    <c:numCache>
                      <c:formatCode>_-* #,##0_-;\-* #,##0_-;_-* "-"??_-;_-@_-</c:formatCode>
                      <c:ptCount val="8"/>
                      <c:pt idx="0">
                        <c:v>64764</c:v>
                      </c:pt>
                      <c:pt idx="1">
                        <c:v>67587</c:v>
                      </c:pt>
                      <c:pt idx="2">
                        <c:v>70411</c:v>
                      </c:pt>
                      <c:pt idx="3">
                        <c:v>69125</c:v>
                      </c:pt>
                      <c:pt idx="4">
                        <c:v>70679</c:v>
                      </c:pt>
                      <c:pt idx="5">
                        <c:v>72524</c:v>
                      </c:pt>
                      <c:pt idx="6">
                        <c:v>1493</c:v>
                      </c:pt>
                      <c:pt idx="7">
                        <c:v>1447</c:v>
                      </c:pt>
                    </c:numCache>
                  </c:numRef>
                </c:val>
                <c:smooth val="0"/>
                <c:extLst xmlns:c15="http://schemas.microsoft.com/office/drawing/2012/chart">
                  <c:ext xmlns:c16="http://schemas.microsoft.com/office/drawing/2014/chart" uri="{C3380CC4-5D6E-409C-BE32-E72D297353CC}">
                    <c16:uniqueId val="{00000013-BE71-41C8-AC0D-64C55D54204C}"/>
                  </c:ext>
                </c:extLst>
              </c15:ser>
            </c15:filteredLineSeries>
          </c:ext>
        </c:extLst>
      </c:lineChart>
      <c:catAx>
        <c:axId val="38408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384089976"/>
        <c:crosses val="autoZero"/>
        <c:auto val="1"/>
        <c:lblAlgn val="ctr"/>
        <c:lblOffset val="100"/>
        <c:noMultiLvlLbl val="0"/>
      </c:catAx>
      <c:valAx>
        <c:axId val="38408997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384087680"/>
        <c:crosses val="autoZero"/>
        <c:crossBetween val="between"/>
      </c:valAx>
      <c:spPr>
        <a:noFill/>
        <a:ln>
          <a:noFill/>
        </a:ln>
        <a:effectLst/>
      </c:spPr>
    </c:plotArea>
    <c:legend>
      <c:legendPos val="b"/>
      <c:layout>
        <c:manualLayout>
          <c:xMode val="edge"/>
          <c:yMode val="edge"/>
          <c:x val="0.2686755299889525"/>
          <c:y val="0.85800984328534191"/>
          <c:w val="0.50507954117166609"/>
          <c:h val="6.17088849891429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solidFill>
      <a:sysClr val="window" lastClr="FFFFFF">
        <a:lumMod val="95000"/>
      </a:sysClr>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73221216041398E-2"/>
          <c:y val="4.2784908595877087E-2"/>
          <c:w val="0.95295777960719741"/>
          <c:h val="0.77801094583130437"/>
        </c:manualLayout>
      </c:layout>
      <c:barChart>
        <c:barDir val="col"/>
        <c:grouping val="clustered"/>
        <c:varyColors val="0"/>
        <c:ser>
          <c:idx val="0"/>
          <c:order val="0"/>
          <c:tx>
            <c:strRef>
              <c:f>Hoja1!$B$15</c:f>
              <c:strCache>
                <c:ptCount val="1"/>
                <c:pt idx="0">
                  <c:v>Productivo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Hoja1!$A$16:$A$21</c:f>
              <c:numCache>
                <c:formatCode>General</c:formatCode>
                <c:ptCount val="6"/>
                <c:pt idx="0">
                  <c:v>2011</c:v>
                </c:pt>
                <c:pt idx="1">
                  <c:v>2012</c:v>
                </c:pt>
                <c:pt idx="2">
                  <c:v>2013</c:v>
                </c:pt>
                <c:pt idx="3">
                  <c:v>2014</c:v>
                </c:pt>
                <c:pt idx="4">
                  <c:v>2015</c:v>
                </c:pt>
                <c:pt idx="5">
                  <c:v>2016</c:v>
                </c:pt>
              </c:numCache>
            </c:numRef>
          </c:cat>
          <c:val>
            <c:numRef>
              <c:f>Hoja1!$B$16:$B$21</c:f>
              <c:numCache>
                <c:formatCode>0.0</c:formatCode>
                <c:ptCount val="6"/>
                <c:pt idx="0">
                  <c:v>30.029189232095888</c:v>
                </c:pt>
                <c:pt idx="1">
                  <c:v>25.465744181782007</c:v>
                </c:pt>
                <c:pt idx="2">
                  <c:v>25.236689704131411</c:v>
                </c:pt>
                <c:pt idx="3">
                  <c:v>29.149047840359476</c:v>
                </c:pt>
                <c:pt idx="4">
                  <c:v>30.103466424568875</c:v>
                </c:pt>
                <c:pt idx="5">
                  <c:v>37.979499849124927</c:v>
                </c:pt>
              </c:numCache>
            </c:numRef>
          </c:val>
          <c:extLst>
            <c:ext xmlns:c16="http://schemas.microsoft.com/office/drawing/2014/chart" uri="{C3380CC4-5D6E-409C-BE32-E72D297353CC}">
              <c16:uniqueId val="{00000000-26AA-4351-8F5E-BDD5B94D9D98}"/>
            </c:ext>
          </c:extLst>
        </c:ser>
        <c:ser>
          <c:idx val="1"/>
          <c:order val="1"/>
          <c:tx>
            <c:strRef>
              <c:f>Hoja1!$C$15</c:f>
              <c:strCache>
                <c:ptCount val="1"/>
                <c:pt idx="0">
                  <c:v>Educación superior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Hoja1!$A$16:$A$21</c:f>
              <c:numCache>
                <c:formatCode>General</c:formatCode>
                <c:ptCount val="6"/>
                <c:pt idx="0">
                  <c:v>2011</c:v>
                </c:pt>
                <c:pt idx="1">
                  <c:v>2012</c:v>
                </c:pt>
                <c:pt idx="2">
                  <c:v>2013</c:v>
                </c:pt>
                <c:pt idx="3">
                  <c:v>2014</c:v>
                </c:pt>
                <c:pt idx="4">
                  <c:v>2015</c:v>
                </c:pt>
                <c:pt idx="5">
                  <c:v>2016</c:v>
                </c:pt>
              </c:numCache>
            </c:numRef>
          </c:cat>
          <c:val>
            <c:numRef>
              <c:f>Hoja1!$C$16:$C$21</c:f>
              <c:numCache>
                <c:formatCode>0.0</c:formatCode>
                <c:ptCount val="6"/>
                <c:pt idx="0">
                  <c:v>47.409510647401376</c:v>
                </c:pt>
                <c:pt idx="1">
                  <c:v>47.603153358451863</c:v>
                </c:pt>
                <c:pt idx="2">
                  <c:v>48.19936886334574</c:v>
                </c:pt>
                <c:pt idx="3">
                  <c:v>47.647830298006106</c:v>
                </c:pt>
                <c:pt idx="4">
                  <c:v>48.647995080754498</c:v>
                </c:pt>
                <c:pt idx="5">
                  <c:v>43.74167843077548</c:v>
                </c:pt>
              </c:numCache>
            </c:numRef>
          </c:val>
          <c:extLst>
            <c:ext xmlns:c16="http://schemas.microsoft.com/office/drawing/2014/chart" uri="{C3380CC4-5D6E-409C-BE32-E72D297353CC}">
              <c16:uniqueId val="{00000001-26AA-4351-8F5E-BDD5B94D9D98}"/>
            </c:ext>
          </c:extLst>
        </c:ser>
        <c:ser>
          <c:idx val="2"/>
          <c:order val="2"/>
          <c:tx>
            <c:strRef>
              <c:f>Hoja1!$D$15</c:f>
              <c:strCache>
                <c:ptCount val="1"/>
                <c:pt idx="0">
                  <c:v>Gobierno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Hoja1!$A$16:$A$21</c:f>
              <c:numCache>
                <c:formatCode>General</c:formatCode>
                <c:ptCount val="6"/>
                <c:pt idx="0">
                  <c:v>2011</c:v>
                </c:pt>
                <c:pt idx="1">
                  <c:v>2012</c:v>
                </c:pt>
                <c:pt idx="2">
                  <c:v>2013</c:v>
                </c:pt>
                <c:pt idx="3">
                  <c:v>2014</c:v>
                </c:pt>
                <c:pt idx="4">
                  <c:v>2015</c:v>
                </c:pt>
                <c:pt idx="5">
                  <c:v>2016</c:v>
                </c:pt>
              </c:numCache>
            </c:numRef>
          </c:cat>
          <c:val>
            <c:numRef>
              <c:f>Hoja1!$D$16:$D$21</c:f>
              <c:numCache>
                <c:formatCode>0.0</c:formatCode>
                <c:ptCount val="6"/>
                <c:pt idx="0">
                  <c:v>20.762733994749116</c:v>
                </c:pt>
                <c:pt idx="1">
                  <c:v>24.764505194531118</c:v>
                </c:pt>
                <c:pt idx="2">
                  <c:v>24.308420079530439</c:v>
                </c:pt>
                <c:pt idx="3">
                  <c:v>21.626510891061283</c:v>
                </c:pt>
                <c:pt idx="4">
                  <c:v>19.804046942856942</c:v>
                </c:pt>
                <c:pt idx="5">
                  <c:v>17.154115269148836</c:v>
                </c:pt>
              </c:numCache>
            </c:numRef>
          </c:val>
          <c:extLst>
            <c:ext xmlns:c16="http://schemas.microsoft.com/office/drawing/2014/chart" uri="{C3380CC4-5D6E-409C-BE32-E72D297353CC}">
              <c16:uniqueId val="{00000002-26AA-4351-8F5E-BDD5B94D9D98}"/>
            </c:ext>
          </c:extLst>
        </c:ser>
        <c:dLbls>
          <c:showLegendKey val="0"/>
          <c:showVal val="0"/>
          <c:showCatName val="0"/>
          <c:showSerName val="0"/>
          <c:showPercent val="0"/>
          <c:showBubbleSize val="0"/>
        </c:dLbls>
        <c:gapWidth val="75"/>
        <c:overlap val="-24"/>
        <c:axId val="790513167"/>
        <c:axId val="788539135"/>
      </c:barChart>
      <c:catAx>
        <c:axId val="79051316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788539135"/>
        <c:crosses val="autoZero"/>
        <c:auto val="1"/>
        <c:lblAlgn val="ctr"/>
        <c:lblOffset val="100"/>
        <c:noMultiLvlLbl val="0"/>
      </c:catAx>
      <c:valAx>
        <c:axId val="788539135"/>
        <c:scaling>
          <c:orientation val="minMax"/>
        </c:scaling>
        <c:delete val="1"/>
        <c:axPos val="l"/>
        <c:numFmt formatCode="0.0" sourceLinked="1"/>
        <c:majorTickMark val="none"/>
        <c:minorTickMark val="none"/>
        <c:tickLblPos val="nextTo"/>
        <c:crossAx val="790513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0748556430446"/>
          <c:y val="5.1679391884649199E-2"/>
          <c:w val="0.8298258477690289"/>
          <c:h val="0.54597953552188705"/>
        </c:manualLayout>
      </c:layout>
      <c:lineChart>
        <c:grouping val="standard"/>
        <c:varyColors val="0"/>
        <c:ser>
          <c:idx val="0"/>
          <c:order val="0"/>
          <c:tx>
            <c:strRef>
              <c:f>Hoja3!$C$67</c:f>
              <c:strCache>
                <c:ptCount val="1"/>
                <c:pt idx="0">
                  <c:v>Agricultura, Ganadería, Desarrollo Rural, Pesca y Alimentación</c:v>
                </c:pt>
              </c:strCache>
            </c:strRef>
          </c:tx>
          <c:spPr>
            <a:ln w="28575" cap="rnd">
              <a:solidFill>
                <a:schemeClr val="accent2"/>
              </a:solidFill>
              <a:round/>
            </a:ln>
            <a:effectLst/>
          </c:spPr>
          <c:marker>
            <c:symbol val="none"/>
          </c:marker>
          <c:cat>
            <c:numRef>
              <c:f>Hoja3!$D$66:$M$66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Hoja3!$D$67:$M$67</c:f>
              <c:numCache>
                <c:formatCode>"$"#,##0</c:formatCode>
                <c:ptCount val="10"/>
                <c:pt idx="0">
                  <c:v>3469</c:v>
                </c:pt>
                <c:pt idx="1">
                  <c:v>3421</c:v>
                </c:pt>
                <c:pt idx="2">
                  <c:v>3219</c:v>
                </c:pt>
                <c:pt idx="3">
                  <c:v>3156</c:v>
                </c:pt>
                <c:pt idx="4">
                  <c:v>3554</c:v>
                </c:pt>
                <c:pt idx="5">
                  <c:v>3845</c:v>
                </c:pt>
                <c:pt idx="6">
                  <c:v>7757</c:v>
                </c:pt>
                <c:pt idx="7">
                  <c:v>7995</c:v>
                </c:pt>
                <c:pt idx="8">
                  <c:v>6882</c:v>
                </c:pt>
                <c:pt idx="9">
                  <c:v>6958</c:v>
                </c:pt>
              </c:numCache>
            </c:numRef>
          </c:val>
          <c:smooth val="0"/>
          <c:extLst xmlns:c15="http://schemas.microsoft.com/office/drawing/2012/chart">
            <c:ext xmlns:c16="http://schemas.microsoft.com/office/drawing/2014/chart" uri="{C3380CC4-5D6E-409C-BE32-E72D297353CC}">
              <c16:uniqueId val="{00000000-E667-4E3A-8FC8-7AAF515E8E72}"/>
            </c:ext>
          </c:extLst>
        </c:ser>
        <c:ser>
          <c:idx val="3"/>
          <c:order val="3"/>
          <c:tx>
            <c:strRef>
              <c:f>Hoja3!$C$70</c:f>
              <c:strCache>
                <c:ptCount val="1"/>
                <c:pt idx="0">
                  <c:v>Educación Pública</c:v>
                </c:pt>
              </c:strCache>
            </c:strRef>
          </c:tx>
          <c:spPr>
            <a:ln w="28575" cap="rnd">
              <a:solidFill>
                <a:schemeClr val="accent2">
                  <a:lumMod val="60000"/>
                </a:schemeClr>
              </a:solidFill>
              <a:round/>
            </a:ln>
            <a:effectLst/>
          </c:spPr>
          <c:marker>
            <c:symbol val="none"/>
          </c:marker>
          <c:cat>
            <c:numRef>
              <c:f>Hoja3!$D$66:$M$66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Hoja3!$D$70:$M$70</c:f>
              <c:numCache>
                <c:formatCode>"$"#,##0</c:formatCode>
                <c:ptCount val="10"/>
                <c:pt idx="0">
                  <c:v>17681</c:v>
                </c:pt>
                <c:pt idx="1">
                  <c:v>17908</c:v>
                </c:pt>
                <c:pt idx="2">
                  <c:v>20086</c:v>
                </c:pt>
                <c:pt idx="3">
                  <c:v>19423</c:v>
                </c:pt>
                <c:pt idx="4">
                  <c:v>21187</c:v>
                </c:pt>
                <c:pt idx="5">
                  <c:v>20196</c:v>
                </c:pt>
                <c:pt idx="6">
                  <c:v>21950</c:v>
                </c:pt>
                <c:pt idx="7">
                  <c:v>22518</c:v>
                </c:pt>
                <c:pt idx="8">
                  <c:v>23441</c:v>
                </c:pt>
                <c:pt idx="9">
                  <c:v>31155</c:v>
                </c:pt>
              </c:numCache>
            </c:numRef>
          </c:val>
          <c:smooth val="0"/>
          <c:extLst>
            <c:ext xmlns:c16="http://schemas.microsoft.com/office/drawing/2014/chart" uri="{C3380CC4-5D6E-409C-BE32-E72D297353CC}">
              <c16:uniqueId val="{00000001-E667-4E3A-8FC8-7AAF515E8E72}"/>
            </c:ext>
          </c:extLst>
        </c:ser>
        <c:ser>
          <c:idx val="4"/>
          <c:order val="4"/>
          <c:tx>
            <c:strRef>
              <c:f>Hoja3!$C$71</c:f>
              <c:strCache>
                <c:ptCount val="1"/>
                <c:pt idx="0">
                  <c:v>Salud y Seguridad Social</c:v>
                </c:pt>
              </c:strCache>
            </c:strRef>
          </c:tx>
          <c:spPr>
            <a:ln w="28575" cap="rnd">
              <a:solidFill>
                <a:schemeClr val="accent4">
                  <a:lumMod val="60000"/>
                </a:schemeClr>
              </a:solidFill>
              <a:round/>
            </a:ln>
            <a:effectLst/>
          </c:spPr>
          <c:marker>
            <c:symbol val="none"/>
          </c:marker>
          <c:cat>
            <c:numRef>
              <c:f>Hoja3!$D$66:$M$66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Hoja3!$D$71:$M$71</c:f>
              <c:numCache>
                <c:formatCode>"$"#,##0</c:formatCode>
                <c:ptCount val="10"/>
                <c:pt idx="0">
                  <c:v>5600</c:v>
                </c:pt>
                <c:pt idx="1">
                  <c:v>5584</c:v>
                </c:pt>
                <c:pt idx="2">
                  <c:v>5188</c:v>
                </c:pt>
                <c:pt idx="3">
                  <c:v>6276</c:v>
                </c:pt>
                <c:pt idx="4">
                  <c:v>5154</c:v>
                </c:pt>
                <c:pt idx="5">
                  <c:v>6745</c:v>
                </c:pt>
                <c:pt idx="6">
                  <c:v>6642</c:v>
                </c:pt>
                <c:pt idx="7">
                  <c:v>6859</c:v>
                </c:pt>
                <c:pt idx="8">
                  <c:v>7108</c:v>
                </c:pt>
                <c:pt idx="9">
                  <c:v>6735</c:v>
                </c:pt>
              </c:numCache>
            </c:numRef>
          </c:val>
          <c:smooth val="0"/>
          <c:extLst>
            <c:ext xmlns:c16="http://schemas.microsoft.com/office/drawing/2014/chart" uri="{C3380CC4-5D6E-409C-BE32-E72D297353CC}">
              <c16:uniqueId val="{00000002-E667-4E3A-8FC8-7AAF515E8E72}"/>
            </c:ext>
          </c:extLst>
        </c:ser>
        <c:ser>
          <c:idx val="6"/>
          <c:order val="6"/>
          <c:tx>
            <c:strRef>
              <c:f>Hoja3!$C$73</c:f>
              <c:strCache>
                <c:ptCount val="1"/>
                <c:pt idx="0">
                  <c:v>Medio Ambiente y Recursos Naturales</c:v>
                </c:pt>
              </c:strCache>
            </c:strRef>
          </c:tx>
          <c:spPr>
            <a:ln w="28575" cap="rnd">
              <a:solidFill>
                <a:schemeClr val="accent2">
                  <a:lumMod val="80000"/>
                  <a:lumOff val="20000"/>
                </a:schemeClr>
              </a:solidFill>
              <a:round/>
            </a:ln>
            <a:effectLst/>
          </c:spPr>
          <c:marker>
            <c:symbol val="none"/>
          </c:marker>
          <c:cat>
            <c:numRef>
              <c:f>Hoja3!$D$66:$M$66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Hoja3!$D$73:$M$73</c:f>
              <c:numCache>
                <c:formatCode>"$"#,##0</c:formatCode>
                <c:ptCount val="10"/>
                <c:pt idx="0">
                  <c:v>806</c:v>
                </c:pt>
                <c:pt idx="1">
                  <c:v>828</c:v>
                </c:pt>
                <c:pt idx="2">
                  <c:v>934</c:v>
                </c:pt>
                <c:pt idx="3">
                  <c:v>608</c:v>
                </c:pt>
                <c:pt idx="4">
                  <c:v>841</c:v>
                </c:pt>
                <c:pt idx="5">
                  <c:v>739</c:v>
                </c:pt>
                <c:pt idx="6">
                  <c:v>889</c:v>
                </c:pt>
                <c:pt idx="7">
                  <c:v>894</c:v>
                </c:pt>
                <c:pt idx="8">
                  <c:v>754</c:v>
                </c:pt>
                <c:pt idx="9">
                  <c:v>765</c:v>
                </c:pt>
              </c:numCache>
            </c:numRef>
          </c:val>
          <c:smooth val="0"/>
          <c:extLst>
            <c:ext xmlns:c16="http://schemas.microsoft.com/office/drawing/2014/chart" uri="{C3380CC4-5D6E-409C-BE32-E72D297353CC}">
              <c16:uniqueId val="{00000003-E667-4E3A-8FC8-7AAF515E8E72}"/>
            </c:ext>
          </c:extLst>
        </c:ser>
        <c:ser>
          <c:idx val="8"/>
          <c:order val="8"/>
          <c:tx>
            <c:strRef>
              <c:f>Hoja3!$C$75</c:f>
              <c:strCache>
                <c:ptCount val="1"/>
                <c:pt idx="0">
                  <c:v>Energía</c:v>
                </c:pt>
              </c:strCache>
            </c:strRef>
          </c:tx>
          <c:spPr>
            <a:ln w="28575" cap="rnd">
              <a:solidFill>
                <a:schemeClr val="accent6">
                  <a:lumMod val="80000"/>
                  <a:lumOff val="20000"/>
                </a:schemeClr>
              </a:solidFill>
              <a:round/>
            </a:ln>
            <a:effectLst/>
          </c:spPr>
          <c:marker>
            <c:symbol val="none"/>
          </c:marker>
          <c:cat>
            <c:numRef>
              <c:f>Hoja3!$D$66:$M$66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Hoja3!$D$75:$M$75</c:f>
              <c:numCache>
                <c:formatCode>"$"#,##0</c:formatCode>
                <c:ptCount val="10"/>
                <c:pt idx="0">
                  <c:v>9132</c:v>
                </c:pt>
                <c:pt idx="1">
                  <c:v>7941</c:v>
                </c:pt>
                <c:pt idx="2">
                  <c:v>12118</c:v>
                </c:pt>
                <c:pt idx="3">
                  <c:v>12875</c:v>
                </c:pt>
                <c:pt idx="4">
                  <c:v>12664</c:v>
                </c:pt>
                <c:pt idx="5">
                  <c:v>12191</c:v>
                </c:pt>
                <c:pt idx="6">
                  <c:v>13888</c:v>
                </c:pt>
                <c:pt idx="7">
                  <c:v>11916</c:v>
                </c:pt>
                <c:pt idx="8">
                  <c:v>9455</c:v>
                </c:pt>
                <c:pt idx="9">
                  <c:v>7852</c:v>
                </c:pt>
              </c:numCache>
            </c:numRef>
          </c:val>
          <c:smooth val="0"/>
          <c:extLst>
            <c:ext xmlns:c16="http://schemas.microsoft.com/office/drawing/2014/chart" uri="{C3380CC4-5D6E-409C-BE32-E72D297353CC}">
              <c16:uniqueId val="{00000004-E667-4E3A-8FC8-7AAF515E8E72}"/>
            </c:ext>
          </c:extLst>
        </c:ser>
        <c:ser>
          <c:idx val="9"/>
          <c:order val="9"/>
          <c:tx>
            <c:strRef>
              <c:f>Hoja3!$C$76</c:f>
              <c:strCache>
                <c:ptCount val="1"/>
                <c:pt idx="0">
                  <c:v>Conacyt</c:v>
                </c:pt>
              </c:strCache>
            </c:strRef>
          </c:tx>
          <c:spPr>
            <a:ln w="28575" cap="rnd">
              <a:solidFill>
                <a:schemeClr val="accent2">
                  <a:lumMod val="80000"/>
                </a:schemeClr>
              </a:solidFill>
              <a:round/>
            </a:ln>
            <a:effectLst/>
          </c:spPr>
          <c:marker>
            <c:symbol val="none"/>
          </c:marker>
          <c:cat>
            <c:numRef>
              <c:f>Hoja3!$D$66:$M$66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Hoja3!$D$76:$M$76</c:f>
              <c:numCache>
                <c:formatCode>"$"#,##0</c:formatCode>
                <c:ptCount val="10"/>
                <c:pt idx="0">
                  <c:v>19124</c:v>
                </c:pt>
                <c:pt idx="1">
                  <c:v>22405</c:v>
                </c:pt>
                <c:pt idx="2">
                  <c:v>24086</c:v>
                </c:pt>
                <c:pt idx="3">
                  <c:v>24939</c:v>
                </c:pt>
                <c:pt idx="4">
                  <c:v>26294</c:v>
                </c:pt>
                <c:pt idx="5">
                  <c:v>31518</c:v>
                </c:pt>
                <c:pt idx="6">
                  <c:v>36829</c:v>
                </c:pt>
                <c:pt idx="7">
                  <c:v>37642</c:v>
                </c:pt>
                <c:pt idx="8">
                  <c:v>36418</c:v>
                </c:pt>
                <c:pt idx="9">
                  <c:v>30002</c:v>
                </c:pt>
              </c:numCache>
            </c:numRef>
          </c:val>
          <c:smooth val="0"/>
          <c:extLst>
            <c:ext xmlns:c16="http://schemas.microsoft.com/office/drawing/2014/chart" uri="{C3380CC4-5D6E-409C-BE32-E72D297353CC}">
              <c16:uniqueId val="{00000005-E667-4E3A-8FC8-7AAF515E8E72}"/>
            </c:ext>
          </c:extLst>
        </c:ser>
        <c:dLbls>
          <c:showLegendKey val="0"/>
          <c:showVal val="0"/>
          <c:showCatName val="0"/>
          <c:showSerName val="0"/>
          <c:showPercent val="0"/>
          <c:showBubbleSize val="0"/>
        </c:dLbls>
        <c:smooth val="0"/>
        <c:axId val="378952664"/>
        <c:axId val="378952992"/>
        <c:extLst>
          <c:ext xmlns:c15="http://schemas.microsoft.com/office/drawing/2012/chart" uri="{02D57815-91ED-43cb-92C2-25804820EDAC}">
            <c15:filteredLineSeries>
              <c15:ser>
                <c:idx val="1"/>
                <c:order val="1"/>
                <c:tx>
                  <c:strRef>
                    <c:extLst>
                      <c:ext uri="{02D57815-91ED-43cb-92C2-25804820EDAC}">
                        <c15:formulaRef>
                          <c15:sqref>Hoja3!$C$68</c15:sqref>
                        </c15:formulaRef>
                      </c:ext>
                    </c:extLst>
                    <c:strCache>
                      <c:ptCount val="1"/>
                      <c:pt idx="0">
                        <c:v>Comunicaciones y Transportes</c:v>
                      </c:pt>
                    </c:strCache>
                  </c:strRef>
                </c:tx>
                <c:spPr>
                  <a:ln w="28575" cap="rnd">
                    <a:solidFill>
                      <a:schemeClr val="accent4"/>
                    </a:solidFill>
                    <a:round/>
                  </a:ln>
                  <a:effectLst/>
                </c:spPr>
                <c:marker>
                  <c:symbol val="none"/>
                </c:marker>
                <c:cat>
                  <c:numRef>
                    <c:extLst>
                      <c:ext uri="{02D57815-91ED-43cb-92C2-25804820EDAC}">
                        <c15:formulaRef>
                          <c15:sqref>Hoja3!$D$66:$M$66</c15:sqref>
                        </c15:formulaRef>
                      </c:ext>
                    </c:extLst>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extLst>
                      <c:ext uri="{02D57815-91ED-43cb-92C2-25804820EDAC}">
                        <c15:formulaRef>
                          <c15:sqref>Hoja3!$D$68:$M$68</c15:sqref>
                        </c15:formulaRef>
                      </c:ext>
                    </c:extLst>
                    <c:numCache>
                      <c:formatCode>"$"#,##0</c:formatCode>
                      <c:ptCount val="10"/>
                      <c:pt idx="0">
                        <c:v>228</c:v>
                      </c:pt>
                      <c:pt idx="1">
                        <c:v>149</c:v>
                      </c:pt>
                      <c:pt idx="2">
                        <c:v>178</c:v>
                      </c:pt>
                      <c:pt idx="3">
                        <c:v>213</c:v>
                      </c:pt>
                      <c:pt idx="4">
                        <c:v>220</c:v>
                      </c:pt>
                      <c:pt idx="5">
                        <c:v>265</c:v>
                      </c:pt>
                      <c:pt idx="6">
                        <c:v>346</c:v>
                      </c:pt>
                      <c:pt idx="7">
                        <c:v>345</c:v>
                      </c:pt>
                      <c:pt idx="8">
                        <c:v>338</c:v>
                      </c:pt>
                      <c:pt idx="9">
                        <c:v>318</c:v>
                      </c:pt>
                    </c:numCache>
                  </c:numRef>
                </c:val>
                <c:smooth val="0"/>
                <c:extLst>
                  <c:ext xmlns:c16="http://schemas.microsoft.com/office/drawing/2014/chart" uri="{C3380CC4-5D6E-409C-BE32-E72D297353CC}">
                    <c16:uniqueId val="{00000006-E667-4E3A-8FC8-7AAF515E8E7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Hoja3!$C$69</c15:sqref>
                        </c15:formulaRef>
                      </c:ext>
                    </c:extLst>
                    <c:strCache>
                      <c:ptCount val="1"/>
                      <c:pt idx="0">
                        <c:v>Economía</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Hoja3!$D$66:$M$66</c15:sqref>
                        </c15:formulaRef>
                      </c:ext>
                    </c:extLst>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extLst xmlns:c15="http://schemas.microsoft.com/office/drawing/2012/chart">
                      <c:ext xmlns:c15="http://schemas.microsoft.com/office/drawing/2012/chart" uri="{02D57815-91ED-43cb-92C2-25804820EDAC}">
                        <c15:formulaRef>
                          <c15:sqref>Hoja3!$D$69:$M$69</c15:sqref>
                        </c15:formulaRef>
                      </c:ext>
                    </c:extLst>
                    <c:numCache>
                      <c:formatCode>"$"#,##0</c:formatCode>
                      <c:ptCount val="10"/>
                      <c:pt idx="0">
                        <c:v>3187</c:v>
                      </c:pt>
                      <c:pt idx="1">
                        <c:v>1918</c:v>
                      </c:pt>
                      <c:pt idx="2">
                        <c:v>2291</c:v>
                      </c:pt>
                      <c:pt idx="3">
                        <c:v>2465</c:v>
                      </c:pt>
                      <c:pt idx="4">
                        <c:v>1987</c:v>
                      </c:pt>
                      <c:pt idx="5">
                        <c:v>1777</c:v>
                      </c:pt>
                      <c:pt idx="6">
                        <c:v>2331</c:v>
                      </c:pt>
                      <c:pt idx="7">
                        <c:v>2148</c:v>
                      </c:pt>
                      <c:pt idx="8">
                        <c:v>1958</c:v>
                      </c:pt>
                      <c:pt idx="9">
                        <c:v>1600</c:v>
                      </c:pt>
                    </c:numCache>
                  </c:numRef>
                </c:val>
                <c:smooth val="0"/>
                <c:extLst xmlns:c15="http://schemas.microsoft.com/office/drawing/2012/chart">
                  <c:ext xmlns:c16="http://schemas.microsoft.com/office/drawing/2014/chart" uri="{C3380CC4-5D6E-409C-BE32-E72D297353CC}">
                    <c16:uniqueId val="{00000007-E667-4E3A-8FC8-7AAF515E8E72}"/>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Hoja3!$C$72</c15:sqref>
                        </c15:formulaRef>
                      </c:ext>
                    </c:extLst>
                    <c:strCache>
                      <c:ptCount val="1"/>
                      <c:pt idx="0">
                        <c:v>Marina</c:v>
                      </c:pt>
                    </c:strCache>
                  </c:strRef>
                </c:tx>
                <c:spPr>
                  <a:ln w="28575" cap="rnd">
                    <a:solidFill>
                      <a:schemeClr val="accent6">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Hoja3!$D$66:$M$66</c15:sqref>
                        </c15:formulaRef>
                      </c:ext>
                    </c:extLst>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extLst xmlns:c15="http://schemas.microsoft.com/office/drawing/2012/chart">
                      <c:ext xmlns:c15="http://schemas.microsoft.com/office/drawing/2012/chart" uri="{02D57815-91ED-43cb-92C2-25804820EDAC}">
                        <c15:formulaRef>
                          <c15:sqref>Hoja3!$D$72:$M$72</c15:sqref>
                        </c15:formulaRef>
                      </c:ext>
                    </c:extLst>
                    <c:numCache>
                      <c:formatCode>"$"#,##0</c:formatCode>
                      <c:ptCount val="10"/>
                      <c:pt idx="0">
                        <c:v>540</c:v>
                      </c:pt>
                      <c:pt idx="1">
                        <c:v>490</c:v>
                      </c:pt>
                      <c:pt idx="2">
                        <c:v>497</c:v>
                      </c:pt>
                      <c:pt idx="3">
                        <c:v>558</c:v>
                      </c:pt>
                      <c:pt idx="4">
                        <c:v>712</c:v>
                      </c:pt>
                      <c:pt idx="5">
                        <c:v>615</c:v>
                      </c:pt>
                      <c:pt idx="6">
                        <c:v>419</c:v>
                      </c:pt>
                      <c:pt idx="7">
                        <c:v>149</c:v>
                      </c:pt>
                      <c:pt idx="8">
                        <c:v>213</c:v>
                      </c:pt>
                      <c:pt idx="9">
                        <c:v>341</c:v>
                      </c:pt>
                    </c:numCache>
                  </c:numRef>
                </c:val>
                <c:smooth val="0"/>
                <c:extLst xmlns:c15="http://schemas.microsoft.com/office/drawing/2012/chart">
                  <c:ext xmlns:c16="http://schemas.microsoft.com/office/drawing/2014/chart" uri="{C3380CC4-5D6E-409C-BE32-E72D297353CC}">
                    <c16:uniqueId val="{00000008-E667-4E3A-8FC8-7AAF515E8E72}"/>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Hoja3!$C$74</c15:sqref>
                        </c15:formulaRef>
                      </c:ext>
                    </c:extLst>
                    <c:strCache>
                      <c:ptCount val="1"/>
                      <c:pt idx="0">
                        <c:v>Procuraduría General de la República</c:v>
                      </c:pt>
                    </c:strCache>
                  </c:strRef>
                </c:tx>
                <c:spPr>
                  <a:ln w="28575" cap="rnd">
                    <a:solidFill>
                      <a:schemeClr val="accent4">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Hoja3!$D$66:$M$66</c15:sqref>
                        </c15:formulaRef>
                      </c:ext>
                    </c:extLst>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extLst xmlns:c15="http://schemas.microsoft.com/office/drawing/2012/chart">
                      <c:ext xmlns:c15="http://schemas.microsoft.com/office/drawing/2012/chart" uri="{02D57815-91ED-43cb-92C2-25804820EDAC}">
                        <c15:formulaRef>
                          <c15:sqref>Hoja3!$D$74:$M$74</c15:sqref>
                        </c15:formulaRef>
                      </c:ext>
                    </c:extLst>
                    <c:numCache>
                      <c:formatCode>"$"#,##0</c:formatCode>
                      <c:ptCount val="10"/>
                      <c:pt idx="0">
                        <c:v>149</c:v>
                      </c:pt>
                      <c:pt idx="1">
                        <c:v>121</c:v>
                      </c:pt>
                      <c:pt idx="2">
                        <c:v>149</c:v>
                      </c:pt>
                      <c:pt idx="3">
                        <c:v>176</c:v>
                      </c:pt>
                      <c:pt idx="4">
                        <c:v>206</c:v>
                      </c:pt>
                      <c:pt idx="5">
                        <c:v>141</c:v>
                      </c:pt>
                      <c:pt idx="6">
                        <c:v>142</c:v>
                      </c:pt>
                      <c:pt idx="7">
                        <c:v>194</c:v>
                      </c:pt>
                      <c:pt idx="8">
                        <c:v>213</c:v>
                      </c:pt>
                      <c:pt idx="9">
                        <c:v>176</c:v>
                      </c:pt>
                    </c:numCache>
                  </c:numRef>
                </c:val>
                <c:smooth val="0"/>
                <c:extLst xmlns:c15="http://schemas.microsoft.com/office/drawing/2012/chart">
                  <c:ext xmlns:c16="http://schemas.microsoft.com/office/drawing/2014/chart" uri="{C3380CC4-5D6E-409C-BE32-E72D297353CC}">
                    <c16:uniqueId val="{00000009-E667-4E3A-8FC8-7AAF515E8E72}"/>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Hoja3!$C$77</c15:sqref>
                        </c15:formulaRef>
                      </c:ext>
                    </c:extLst>
                    <c:strCache>
                      <c:ptCount val="1"/>
                      <c:pt idx="0">
                        <c:v>Otros</c:v>
                      </c:pt>
                    </c:strCache>
                  </c:strRef>
                </c:tx>
                <c:spPr>
                  <a:ln w="28575" cap="rnd">
                    <a:solidFill>
                      <a:schemeClr val="accent4">
                        <a:lumMod val="80000"/>
                      </a:schemeClr>
                    </a:solidFill>
                    <a:round/>
                  </a:ln>
                  <a:effectLst/>
                </c:spPr>
                <c:marker>
                  <c:symbol val="none"/>
                </c:marker>
                <c:cat>
                  <c:numRef>
                    <c:extLst xmlns:c15="http://schemas.microsoft.com/office/drawing/2012/chart">
                      <c:ext xmlns:c15="http://schemas.microsoft.com/office/drawing/2012/chart" uri="{02D57815-91ED-43cb-92C2-25804820EDAC}">
                        <c15:formulaRef>
                          <c15:sqref>Hoja3!$D$66:$M$66</c15:sqref>
                        </c15:formulaRef>
                      </c:ext>
                    </c:extLst>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extLst xmlns:c15="http://schemas.microsoft.com/office/drawing/2012/chart">
                      <c:ext xmlns:c15="http://schemas.microsoft.com/office/drawing/2012/chart" uri="{02D57815-91ED-43cb-92C2-25804820EDAC}">
                        <c15:formulaRef>
                          <c15:sqref>Hoja3!$D$77:$M$77</c15:sqref>
                        </c15:formulaRef>
                      </c:ext>
                    </c:extLst>
                    <c:numCache>
                      <c:formatCode>"$"#,##0</c:formatCode>
                      <c:ptCount val="10"/>
                      <c:pt idx="0">
                        <c:v>177</c:v>
                      </c:pt>
                      <c:pt idx="1">
                        <c:v>114</c:v>
                      </c:pt>
                      <c:pt idx="2">
                        <c:v>245</c:v>
                      </c:pt>
                      <c:pt idx="3">
                        <c:v>102</c:v>
                      </c:pt>
                      <c:pt idx="4">
                        <c:v>243</c:v>
                      </c:pt>
                      <c:pt idx="5">
                        <c:v>234</c:v>
                      </c:pt>
                      <c:pt idx="6">
                        <c:v>224</c:v>
                      </c:pt>
                      <c:pt idx="7">
                        <c:v>221</c:v>
                      </c:pt>
                      <c:pt idx="8">
                        <c:v>195</c:v>
                      </c:pt>
                      <c:pt idx="9">
                        <c:v>312</c:v>
                      </c:pt>
                    </c:numCache>
                  </c:numRef>
                </c:val>
                <c:smooth val="0"/>
                <c:extLst xmlns:c15="http://schemas.microsoft.com/office/drawing/2012/chart">
                  <c:ext xmlns:c16="http://schemas.microsoft.com/office/drawing/2014/chart" uri="{C3380CC4-5D6E-409C-BE32-E72D297353CC}">
                    <c16:uniqueId val="{0000000A-E667-4E3A-8FC8-7AAF515E8E72}"/>
                  </c:ext>
                </c:extLst>
              </c15:ser>
            </c15:filteredLineSeries>
          </c:ext>
        </c:extLst>
      </c:lineChart>
      <c:catAx>
        <c:axId val="37895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378952992"/>
        <c:crosses val="autoZero"/>
        <c:auto val="1"/>
        <c:lblAlgn val="ctr"/>
        <c:lblOffset val="100"/>
        <c:noMultiLvlLbl val="0"/>
      </c:catAx>
      <c:valAx>
        <c:axId val="3789529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378952664"/>
        <c:crosses val="autoZero"/>
        <c:crossBetween val="between"/>
      </c:valAx>
      <c:spPr>
        <a:noFill/>
        <a:ln>
          <a:noFill/>
        </a:ln>
        <a:effectLst/>
      </c:spPr>
    </c:plotArea>
    <c:legend>
      <c:legendPos val="b"/>
      <c:layout>
        <c:manualLayout>
          <c:xMode val="edge"/>
          <c:yMode val="edge"/>
          <c:x val="9.0831969220842839E-3"/>
          <c:y val="0.67114292531615372"/>
          <c:w val="0.98700319757454757"/>
          <c:h val="0.28607208813017393"/>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Hoja3!$A$31</c:f>
              <c:strCache>
                <c:ptCount val="1"/>
                <c:pt idx="0">
                  <c:v>Ramo 38 Consejo Nacional de Ciencia y Tecnología/1</c:v>
                </c:pt>
              </c:strCache>
            </c:strRef>
          </c:tx>
          <c:spPr>
            <a:ln w="22225" cap="rnd">
              <a:solidFill>
                <a:schemeClr val="accent4"/>
              </a:solidFill>
              <a:round/>
            </a:ln>
            <a:effectLst/>
          </c:spPr>
          <c:marker>
            <c:symbol val="diamond"/>
            <c:size val="6"/>
            <c:spPr>
              <a:solidFill>
                <a:schemeClr val="accent4"/>
              </a:solidFill>
              <a:ln w="9525">
                <a:solidFill>
                  <a:schemeClr val="accent4"/>
                </a:solidFill>
                <a:round/>
              </a:ln>
              <a:effectLst/>
            </c:spPr>
          </c:marker>
          <c:cat>
            <c:numRef>
              <c:f>Hoja3!$B$29:$J$29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Hoja3!$B$31:$J$31</c:f>
              <c:numCache>
                <c:formatCode>"$"#,##0</c:formatCode>
                <c:ptCount val="9"/>
                <c:pt idx="0">
                  <c:v>1322124000</c:v>
                </c:pt>
                <c:pt idx="1">
                  <c:v>840058000</c:v>
                </c:pt>
                <c:pt idx="2">
                  <c:v>547475000</c:v>
                </c:pt>
                <c:pt idx="3">
                  <c:v>545670000</c:v>
                </c:pt>
                <c:pt idx="4">
                  <c:v>703750000</c:v>
                </c:pt>
                <c:pt idx="5">
                  <c:v>940892000</c:v>
                </c:pt>
                <c:pt idx="6">
                  <c:v>562490000</c:v>
                </c:pt>
                <c:pt idx="7">
                  <c:v>707541000</c:v>
                </c:pt>
                <c:pt idx="8">
                  <c:v>205555000</c:v>
                </c:pt>
              </c:numCache>
            </c:numRef>
          </c:val>
          <c:smooth val="0"/>
          <c:extLst>
            <c:ext xmlns:c16="http://schemas.microsoft.com/office/drawing/2014/chart" uri="{C3380CC4-5D6E-409C-BE32-E72D297353CC}">
              <c16:uniqueId val="{00000000-A5B3-4C73-9EF7-D3F8EB4ADC66}"/>
            </c:ext>
          </c:extLst>
        </c:ser>
        <c:ser>
          <c:idx val="2"/>
          <c:order val="2"/>
          <c:tx>
            <c:strRef>
              <c:f>Hoja3!$A$32</c:f>
              <c:strCache>
                <c:ptCount val="1"/>
                <c:pt idx="0">
                  <c:v>Ramo 10 Economía</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cat>
            <c:numRef>
              <c:f>Hoja3!$B$29:$J$29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Hoja3!$B$32:$J$32</c:f>
              <c:numCache>
                <c:formatCode>"$"#,##0</c:formatCode>
                <c:ptCount val="9"/>
                <c:pt idx="0">
                  <c:v>0</c:v>
                </c:pt>
                <c:pt idx="1">
                  <c:v>448225000</c:v>
                </c:pt>
                <c:pt idx="2">
                  <c:v>386622000</c:v>
                </c:pt>
                <c:pt idx="3">
                  <c:v>385852000</c:v>
                </c:pt>
                <c:pt idx="4">
                  <c:v>334731000</c:v>
                </c:pt>
                <c:pt idx="5">
                  <c:v>402091000</c:v>
                </c:pt>
                <c:pt idx="6">
                  <c:v>123010000</c:v>
                </c:pt>
                <c:pt idx="7">
                  <c:v>0</c:v>
                </c:pt>
                <c:pt idx="8">
                  <c:v>0</c:v>
                </c:pt>
              </c:numCache>
            </c:numRef>
          </c:val>
          <c:smooth val="0"/>
          <c:extLst>
            <c:ext xmlns:c16="http://schemas.microsoft.com/office/drawing/2014/chart" uri="{C3380CC4-5D6E-409C-BE32-E72D297353CC}">
              <c16:uniqueId val="{00000001-A5B3-4C73-9EF7-D3F8EB4ADC66}"/>
            </c:ext>
          </c:extLst>
        </c:ser>
        <c:ser>
          <c:idx val="3"/>
          <c:order val="3"/>
          <c:tx>
            <c:strRef>
              <c:f>Hoja3!$A$33</c:f>
              <c:strCache>
                <c:ptCount val="1"/>
                <c:pt idx="0">
                  <c:v>Ramo 8 Agricultura, Ganadería, Desarrollo Rural, Pesca y Alimentación</c:v>
                </c:pt>
              </c:strCache>
            </c:strRef>
          </c:tx>
          <c:spPr>
            <a:ln w="22225" cap="rnd">
              <a:solidFill>
                <a:schemeClr val="accent2">
                  <a:lumMod val="60000"/>
                </a:schemeClr>
              </a:solidFill>
              <a:round/>
            </a:ln>
            <a:effectLst/>
          </c:spPr>
          <c:marker>
            <c:symbol val="diamond"/>
            <c:size val="6"/>
            <c:spPr>
              <a:solidFill>
                <a:schemeClr val="accent2">
                  <a:lumMod val="60000"/>
                </a:schemeClr>
              </a:solidFill>
              <a:ln w="9525">
                <a:solidFill>
                  <a:schemeClr val="accent2">
                    <a:lumMod val="60000"/>
                  </a:schemeClr>
                </a:solidFill>
                <a:round/>
              </a:ln>
              <a:effectLst/>
            </c:spPr>
          </c:marker>
          <c:cat>
            <c:numRef>
              <c:f>Hoja3!$B$29:$J$29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Hoja3!$B$33:$J$33</c:f>
              <c:numCache>
                <c:formatCode>"$"#,##0</c:formatCode>
                <c:ptCount val="9"/>
                <c:pt idx="0">
                  <c:v>0</c:v>
                </c:pt>
                <c:pt idx="1">
                  <c:v>0</c:v>
                </c:pt>
                <c:pt idx="2">
                  <c:v>0</c:v>
                </c:pt>
                <c:pt idx="3">
                  <c:v>0</c:v>
                </c:pt>
                <c:pt idx="4">
                  <c:v>0</c:v>
                </c:pt>
                <c:pt idx="5">
                  <c:v>3431556000</c:v>
                </c:pt>
                <c:pt idx="6">
                  <c:v>3837944000</c:v>
                </c:pt>
                <c:pt idx="7">
                  <c:v>1387328000</c:v>
                </c:pt>
                <c:pt idx="8">
                  <c:v>2451218000</c:v>
                </c:pt>
              </c:numCache>
            </c:numRef>
          </c:val>
          <c:smooth val="0"/>
          <c:extLst>
            <c:ext xmlns:c16="http://schemas.microsoft.com/office/drawing/2014/chart" uri="{C3380CC4-5D6E-409C-BE32-E72D297353CC}">
              <c16:uniqueId val="{00000002-A5B3-4C73-9EF7-D3F8EB4ADC66}"/>
            </c:ext>
          </c:extLst>
        </c:ser>
        <c:ser>
          <c:idx val="4"/>
          <c:order val="4"/>
          <c:tx>
            <c:strRef>
              <c:f>Hoja3!$A$34</c:f>
              <c:strCache>
                <c:ptCount val="1"/>
                <c:pt idx="0">
                  <c:v>Total sector gobierno</c:v>
                </c:pt>
              </c:strCache>
            </c:strRef>
          </c:tx>
          <c:spPr>
            <a:ln w="22225" cap="rnd">
              <a:solidFill>
                <a:schemeClr val="accent4">
                  <a:lumMod val="60000"/>
                </a:schemeClr>
              </a:solidFill>
              <a:round/>
            </a:ln>
            <a:effectLst/>
          </c:spPr>
          <c:marker>
            <c:symbol val="diamond"/>
            <c:size val="6"/>
            <c:spPr>
              <a:solidFill>
                <a:schemeClr val="accent4">
                  <a:lumMod val="60000"/>
                </a:schemeClr>
              </a:solidFill>
              <a:ln w="9525">
                <a:solidFill>
                  <a:schemeClr val="accent4">
                    <a:lumMod val="60000"/>
                  </a:schemeClr>
                </a:solidFill>
                <a:round/>
              </a:ln>
              <a:effectLst/>
            </c:spPr>
          </c:marker>
          <c:cat>
            <c:numRef>
              <c:f>Hoja3!$B$29:$J$29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Hoja3!$B$34:$J$34</c:f>
              <c:numCache>
                <c:formatCode>"$"#,##0</c:formatCode>
                <c:ptCount val="9"/>
                <c:pt idx="0">
                  <c:v>1322124000</c:v>
                </c:pt>
                <c:pt idx="1">
                  <c:v>1288283000</c:v>
                </c:pt>
                <c:pt idx="2">
                  <c:v>934096000</c:v>
                </c:pt>
                <c:pt idx="3">
                  <c:v>931521000</c:v>
                </c:pt>
                <c:pt idx="4">
                  <c:v>1038481000</c:v>
                </c:pt>
                <c:pt idx="5">
                  <c:v>4774538000</c:v>
                </c:pt>
                <c:pt idx="6">
                  <c:v>4523444000</c:v>
                </c:pt>
                <c:pt idx="7">
                  <c:v>2094869000</c:v>
                </c:pt>
                <c:pt idx="8">
                  <c:v>2656773000</c:v>
                </c:pt>
              </c:numCache>
            </c:numRef>
          </c:val>
          <c:smooth val="0"/>
          <c:extLst>
            <c:ext xmlns:c16="http://schemas.microsoft.com/office/drawing/2014/chart" uri="{C3380CC4-5D6E-409C-BE32-E72D297353CC}">
              <c16:uniqueId val="{00000003-A5B3-4C73-9EF7-D3F8EB4ADC66}"/>
            </c:ext>
          </c:extLst>
        </c:ser>
        <c:dLbls>
          <c:showLegendKey val="0"/>
          <c:showVal val="0"/>
          <c:showCatName val="0"/>
          <c:showSerName val="0"/>
          <c:showPercent val="0"/>
          <c:showBubbleSize val="0"/>
        </c:dLbls>
        <c:marker val="1"/>
        <c:smooth val="0"/>
        <c:axId val="378952664"/>
        <c:axId val="378952992"/>
        <c:extLst>
          <c:ext xmlns:c15="http://schemas.microsoft.com/office/drawing/2012/chart" uri="{02D57815-91ED-43cb-92C2-25804820EDAC}">
            <c15:filteredLineSeries>
              <c15:ser>
                <c:idx val="0"/>
                <c:order val="0"/>
                <c:tx>
                  <c:strRef>
                    <c:extLst>
                      <c:ext uri="{02D57815-91ED-43cb-92C2-25804820EDAC}">
                        <c15:formulaRef>
                          <c15:sqref>Hoja3!$A$30</c15:sqref>
                        </c15:formulaRef>
                      </c:ext>
                    </c:extLst>
                    <c:strCache>
                      <c:ptCount val="1"/>
                      <c:pt idx="0">
                        <c:v>Gobierno</c:v>
                      </c:pt>
                    </c:strCache>
                  </c:strRef>
                </c:tx>
                <c:spPr>
                  <a:ln w="22225" cap="rnd">
                    <a:solidFill>
                      <a:schemeClr val="accent2"/>
                    </a:solidFill>
                    <a:round/>
                  </a:ln>
                  <a:effectLst/>
                </c:spPr>
                <c:marker>
                  <c:symbol val="diamond"/>
                  <c:size val="6"/>
                  <c:spPr>
                    <a:solidFill>
                      <a:schemeClr val="accent2"/>
                    </a:solidFill>
                    <a:ln w="9525">
                      <a:solidFill>
                        <a:schemeClr val="accent2"/>
                      </a:solidFill>
                      <a:round/>
                    </a:ln>
                    <a:effectLst/>
                  </c:spPr>
                </c:marker>
                <c:cat>
                  <c:numRef>
                    <c:extLst>
                      <c:ext uri="{02D57815-91ED-43cb-92C2-25804820EDAC}">
                        <c15:formulaRef>
                          <c15:sqref>Hoja3!$B$29:$J$29</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extLst>
                      <c:ext uri="{02D57815-91ED-43cb-92C2-25804820EDAC}">
                        <c15:formulaRef>
                          <c15:sqref>Hoja3!$B$30:$J$30</c15:sqref>
                        </c15:formulaRef>
                      </c:ext>
                    </c:extLst>
                    <c:numCache>
                      <c:formatCode>General</c:formatCode>
                      <c:ptCount val="9"/>
                    </c:numCache>
                  </c:numRef>
                </c:val>
                <c:smooth val="0"/>
                <c:extLst>
                  <c:ext xmlns:c16="http://schemas.microsoft.com/office/drawing/2014/chart" uri="{C3380CC4-5D6E-409C-BE32-E72D297353CC}">
                    <c16:uniqueId val="{00000004-A5B3-4C73-9EF7-D3F8EB4ADC66}"/>
                  </c:ext>
                </c:extLst>
              </c15:ser>
            </c15:filteredLineSeries>
          </c:ext>
        </c:extLst>
      </c:lineChart>
      <c:catAx>
        <c:axId val="37895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s-MX"/>
          </a:p>
        </c:txPr>
        <c:crossAx val="378952992"/>
        <c:crosses val="autoZero"/>
        <c:auto val="1"/>
        <c:lblAlgn val="ctr"/>
        <c:lblOffset val="100"/>
        <c:noMultiLvlLbl val="0"/>
      </c:catAx>
      <c:valAx>
        <c:axId val="378952992"/>
        <c:scaling>
          <c:orientation val="minMax"/>
          <c:max val="500000000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378952664"/>
        <c:crosses val="autoZero"/>
        <c:crossBetween val="between"/>
        <c:dispUnits>
          <c:builtInUnit val="billions"/>
          <c:dispUnitsLbl>
            <c:layout>
              <c:manualLayout>
                <c:xMode val="edge"/>
                <c:yMode val="edge"/>
                <c:x val="1.8653536824890883E-2"/>
                <c:y val="2.9835506267667532E-2"/>
              </c:manualLayout>
            </c:layout>
            <c:tx>
              <c:rich>
                <a:bodyPr rot="-5400000" spcFirstLastPara="1" vertOverflow="ellipsis" vert="horz" wrap="square" anchor="ctr" anchorCtr="1"/>
                <a:lstStyle/>
                <a:p>
                  <a:pPr>
                    <a:defRPr sz="8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Miles de millones de pesos a precios de 2017</a:t>
                  </a:r>
                </a:p>
              </c:rich>
            </c:tx>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ispUnitsLbl>
        </c:dispUnits>
      </c:valAx>
      <c:spPr>
        <a:noFill/>
        <a:ln>
          <a:noFill/>
        </a:ln>
        <a:effectLst/>
      </c:spPr>
    </c:plotArea>
    <c:legend>
      <c:legendPos val="r"/>
      <c:layout>
        <c:manualLayout>
          <c:xMode val="edge"/>
          <c:yMode val="edge"/>
          <c:x val="0.62487237019634567"/>
          <c:y val="0.26176309349896026"/>
          <c:w val="0.36336707470545371"/>
          <c:h val="0.4764738130020795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09603002553057"/>
          <c:y val="0.11271388626013347"/>
          <c:w val="0.77885489234461946"/>
          <c:h val="0.63114232949586091"/>
        </c:manualLayout>
      </c:layout>
      <c:barChart>
        <c:barDir val="col"/>
        <c:grouping val="stacked"/>
        <c:varyColors val="0"/>
        <c:ser>
          <c:idx val="0"/>
          <c:order val="0"/>
          <c:tx>
            <c:strRef>
              <c:f>Hoja3!$B$106</c:f>
              <c:strCache>
                <c:ptCount val="1"/>
                <c:pt idx="0">
                  <c:v>Investigación científica
y desarrollo  experimental</c:v>
                </c:pt>
              </c:strCache>
            </c:strRef>
          </c:tx>
          <c:spPr>
            <a:solidFill>
              <a:schemeClr val="accent1"/>
            </a:solidFill>
            <a:ln>
              <a:noFill/>
            </a:ln>
            <a:effectLst/>
          </c:spPr>
          <c:invertIfNegative val="0"/>
          <c:cat>
            <c:strRef>
              <c:f>Hoja3!$A$107:$A$116</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Hoja3!$B$107:$B$116</c:f>
              <c:numCache>
                <c:formatCode>"$"#,##0.00</c:formatCode>
                <c:ptCount val="10"/>
                <c:pt idx="0">
                  <c:v>41130</c:v>
                </c:pt>
                <c:pt idx="1">
                  <c:v>41049</c:v>
                </c:pt>
                <c:pt idx="2">
                  <c:v>49961</c:v>
                </c:pt>
                <c:pt idx="3">
                  <c:v>49878</c:v>
                </c:pt>
                <c:pt idx="4">
                  <c:v>53603</c:v>
                </c:pt>
                <c:pt idx="5">
                  <c:v>57096</c:v>
                </c:pt>
                <c:pt idx="6">
                  <c:v>63244</c:v>
                </c:pt>
                <c:pt idx="7">
                  <c:v>63032</c:v>
                </c:pt>
                <c:pt idx="8">
                  <c:v>57570</c:v>
                </c:pt>
                <c:pt idx="9">
                  <c:v>50535</c:v>
                </c:pt>
              </c:numCache>
            </c:numRef>
          </c:val>
          <c:extLst>
            <c:ext xmlns:c16="http://schemas.microsoft.com/office/drawing/2014/chart" uri="{C3380CC4-5D6E-409C-BE32-E72D297353CC}">
              <c16:uniqueId val="{00000000-C083-4FEE-8771-BEBFE804525D}"/>
            </c:ext>
          </c:extLst>
        </c:ser>
        <c:ser>
          <c:idx val="1"/>
          <c:order val="1"/>
          <c:tx>
            <c:strRef>
              <c:f>Hoja3!$C$106</c:f>
              <c:strCache>
                <c:ptCount val="1"/>
                <c:pt idx="0">
                  <c:v>Educación y enseñanza
científica  y técnica</c:v>
                </c:pt>
              </c:strCache>
            </c:strRef>
          </c:tx>
          <c:spPr>
            <a:solidFill>
              <a:schemeClr val="accent2"/>
            </a:solidFill>
            <a:ln>
              <a:noFill/>
            </a:ln>
            <a:effectLst/>
          </c:spPr>
          <c:invertIfNegative val="0"/>
          <c:cat>
            <c:strRef>
              <c:f>Hoja3!$A$107:$A$116</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Hoja3!$C$107:$C$116</c:f>
              <c:numCache>
                <c:formatCode>"$"#,##0.00</c:formatCode>
                <c:ptCount val="10"/>
                <c:pt idx="0">
                  <c:v>15191</c:v>
                </c:pt>
                <c:pt idx="1">
                  <c:v>15065</c:v>
                </c:pt>
                <c:pt idx="2">
                  <c:v>14012</c:v>
                </c:pt>
                <c:pt idx="3">
                  <c:v>16293</c:v>
                </c:pt>
                <c:pt idx="4">
                  <c:v>15823</c:v>
                </c:pt>
                <c:pt idx="5">
                  <c:v>17473</c:v>
                </c:pt>
                <c:pt idx="6">
                  <c:v>20300</c:v>
                </c:pt>
                <c:pt idx="7">
                  <c:v>19455</c:v>
                </c:pt>
                <c:pt idx="8">
                  <c:v>22113</c:v>
                </c:pt>
                <c:pt idx="9">
                  <c:v>29549</c:v>
                </c:pt>
              </c:numCache>
            </c:numRef>
          </c:val>
          <c:extLst>
            <c:ext xmlns:c16="http://schemas.microsoft.com/office/drawing/2014/chart" uri="{C3380CC4-5D6E-409C-BE32-E72D297353CC}">
              <c16:uniqueId val="{00000001-C083-4FEE-8771-BEBFE804525D}"/>
            </c:ext>
          </c:extLst>
        </c:ser>
        <c:ser>
          <c:idx val="2"/>
          <c:order val="2"/>
          <c:tx>
            <c:strRef>
              <c:f>Hoja3!$D$106</c:f>
              <c:strCache>
                <c:ptCount val="1"/>
                <c:pt idx="0">
                  <c:v>Servicios científicos
y tecnológicos</c:v>
                </c:pt>
              </c:strCache>
            </c:strRef>
          </c:tx>
          <c:spPr>
            <a:solidFill>
              <a:schemeClr val="accent3"/>
            </a:solidFill>
            <a:ln>
              <a:noFill/>
            </a:ln>
            <a:effectLst/>
          </c:spPr>
          <c:invertIfNegative val="0"/>
          <c:cat>
            <c:strRef>
              <c:f>Hoja3!$A$107:$A$116</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Hoja3!$D$107:$D$116</c:f>
              <c:numCache>
                <c:formatCode>"$"#,##0.00</c:formatCode>
                <c:ptCount val="10"/>
                <c:pt idx="0">
                  <c:v>3259</c:v>
                </c:pt>
                <c:pt idx="1">
                  <c:v>2891</c:v>
                </c:pt>
                <c:pt idx="2">
                  <c:v>2943</c:v>
                </c:pt>
                <c:pt idx="3">
                  <c:v>2954</c:v>
                </c:pt>
                <c:pt idx="4">
                  <c:v>2327</c:v>
                </c:pt>
                <c:pt idx="5">
                  <c:v>2070</c:v>
                </c:pt>
                <c:pt idx="6">
                  <c:v>2538</c:v>
                </c:pt>
                <c:pt idx="7">
                  <c:v>3319</c:v>
                </c:pt>
                <c:pt idx="8">
                  <c:v>4431</c:v>
                </c:pt>
                <c:pt idx="9">
                  <c:v>3244</c:v>
                </c:pt>
              </c:numCache>
            </c:numRef>
          </c:val>
          <c:extLst>
            <c:ext xmlns:c16="http://schemas.microsoft.com/office/drawing/2014/chart" uri="{C3380CC4-5D6E-409C-BE32-E72D297353CC}">
              <c16:uniqueId val="{00000002-C083-4FEE-8771-BEBFE804525D}"/>
            </c:ext>
          </c:extLst>
        </c:ser>
        <c:ser>
          <c:idx val="3"/>
          <c:order val="3"/>
          <c:tx>
            <c:strRef>
              <c:f>Hoja3!$E$106</c:f>
              <c:strCache>
                <c:ptCount val="1"/>
                <c:pt idx="0">
                  <c:v>Innovación
tecnológica</c:v>
                </c:pt>
              </c:strCache>
            </c:strRef>
          </c:tx>
          <c:spPr>
            <a:solidFill>
              <a:schemeClr val="accent4"/>
            </a:solidFill>
            <a:ln>
              <a:noFill/>
            </a:ln>
            <a:effectLst/>
          </c:spPr>
          <c:invertIfNegative val="0"/>
          <c:cat>
            <c:strRef>
              <c:f>Hoja3!$A$107:$A$116</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Hoja3!$E$107:$E$116</c:f>
              <c:numCache>
                <c:formatCode>"$"#,##0.00</c:formatCode>
                <c:ptCount val="10"/>
                <c:pt idx="0">
                  <c:v>513</c:v>
                </c:pt>
                <c:pt idx="1">
                  <c:v>1875</c:v>
                </c:pt>
                <c:pt idx="2">
                  <c:v>2075</c:v>
                </c:pt>
                <c:pt idx="3">
                  <c:v>1666</c:v>
                </c:pt>
                <c:pt idx="4">
                  <c:v>1309</c:v>
                </c:pt>
                <c:pt idx="5">
                  <c:v>1628</c:v>
                </c:pt>
                <c:pt idx="6">
                  <c:v>5332</c:v>
                </c:pt>
                <c:pt idx="7">
                  <c:v>5074</c:v>
                </c:pt>
                <c:pt idx="8">
                  <c:v>2860</c:v>
                </c:pt>
                <c:pt idx="9">
                  <c:v>2886</c:v>
                </c:pt>
              </c:numCache>
            </c:numRef>
          </c:val>
          <c:extLst>
            <c:ext xmlns:c16="http://schemas.microsoft.com/office/drawing/2014/chart" uri="{C3380CC4-5D6E-409C-BE32-E72D297353CC}">
              <c16:uniqueId val="{00000003-C083-4FEE-8771-BEBFE804525D}"/>
            </c:ext>
          </c:extLst>
        </c:ser>
        <c:dLbls>
          <c:showLegendKey val="0"/>
          <c:showVal val="0"/>
          <c:showCatName val="0"/>
          <c:showSerName val="0"/>
          <c:showPercent val="0"/>
          <c:showBubbleSize val="0"/>
        </c:dLbls>
        <c:gapWidth val="68"/>
        <c:overlap val="100"/>
        <c:axId val="573927768"/>
        <c:axId val="573928424"/>
      </c:barChart>
      <c:catAx>
        <c:axId val="57392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573928424"/>
        <c:crosses val="autoZero"/>
        <c:auto val="1"/>
        <c:lblAlgn val="ctr"/>
        <c:lblOffset val="100"/>
        <c:noMultiLvlLbl val="0"/>
      </c:catAx>
      <c:valAx>
        <c:axId val="573928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t>Millones de pesos a precios de 2017</a:t>
                </a:r>
              </a:p>
            </c:rich>
          </c:tx>
          <c:layout>
            <c:manualLayout>
              <c:xMode val="edge"/>
              <c:yMode val="edge"/>
              <c:x val="2.73693119890062E-2"/>
              <c:y val="0.1793352260372354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573927768"/>
        <c:crosses val="autoZero"/>
        <c:crossBetween val="between"/>
      </c:valAx>
      <c:spPr>
        <a:noFill/>
        <a:ln>
          <a:noFill/>
        </a:ln>
        <a:effectLst/>
      </c:spPr>
    </c:plotArea>
    <c:legend>
      <c:legendPos val="b"/>
      <c:layout>
        <c:manualLayout>
          <c:xMode val="edge"/>
          <c:yMode val="edge"/>
          <c:x val="8.1140051542716279E-2"/>
          <c:y val="0.85353840688233673"/>
          <c:w val="0.89999990001249841"/>
          <c:h val="9.630561423724473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800" b="1">
                <a:solidFill>
                  <a:sysClr val="windowText" lastClr="000000"/>
                </a:solidFill>
              </a:rPr>
              <a:t>Programas sociales y educativos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21059832110221349"/>
          <c:y val="0.13618122977346278"/>
          <c:w val="0.78940167889778645"/>
          <c:h val="0.47660660434556901"/>
        </c:manualLayout>
      </c:layout>
      <c:barChart>
        <c:barDir val="col"/>
        <c:grouping val="clustered"/>
        <c:varyColors val="0"/>
        <c:ser>
          <c:idx val="2"/>
          <c:order val="2"/>
          <c:tx>
            <c:strRef>
              <c:f>'Edo - soc'!$D$5:$D$6</c:f>
              <c:strCache>
                <c:ptCount val="2"/>
                <c:pt idx="0">
                  <c:v>2011</c:v>
                </c:pt>
              </c:strCache>
            </c:strRef>
          </c:tx>
          <c:spPr>
            <a:solidFill>
              <a:schemeClr val="accent3"/>
            </a:solidFill>
            <a:ln>
              <a:noFill/>
            </a:ln>
            <a:effectLst/>
          </c:spPr>
          <c:invertIfNegative val="0"/>
          <c:cat>
            <c:strRef>
              <c:f>'Edo - soc'!$A$7:$A$48</c:f>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f>'Edo - soc'!$D$7:$D$48</c:f>
              <c:numCache>
                <c:formatCode>#,##0.00_ ;\-#,##0.00\ </c:formatCode>
                <c:ptCount val="10"/>
                <c:pt idx="0">
                  <c:v>27.679694475342501</c:v>
                </c:pt>
                <c:pt idx="1">
                  <c:v>164.81634554795099</c:v>
                </c:pt>
                <c:pt idx="2">
                  <c:v>1101.04460059233</c:v>
                </c:pt>
                <c:pt idx="3">
                  <c:v>57.519293807121301</c:v>
                </c:pt>
                <c:pt idx="4">
                  <c:v>221.92694150009601</c:v>
                </c:pt>
                <c:pt idx="5">
                  <c:v>303.66714714087902</c:v>
                </c:pt>
                <c:pt idx="6">
                  <c:v>171.027693816382</c:v>
                </c:pt>
                <c:pt idx="7">
                  <c:v>357.592240218001</c:v>
                </c:pt>
                <c:pt idx="8">
                  <c:v>481.40927743378001</c:v>
                </c:pt>
                <c:pt idx="9">
                  <c:v>1158</c:v>
                </c:pt>
              </c:numCache>
            </c:numRef>
          </c:val>
          <c:extLst>
            <c:ext xmlns:c16="http://schemas.microsoft.com/office/drawing/2014/chart" uri="{C3380CC4-5D6E-409C-BE32-E72D297353CC}">
              <c16:uniqueId val="{00000000-968F-4E84-B276-FC67B3BA556D}"/>
            </c:ext>
          </c:extLst>
        </c:ser>
        <c:ser>
          <c:idx val="5"/>
          <c:order val="5"/>
          <c:tx>
            <c:strRef>
              <c:f>'Edo - soc'!$G$5:$G$6</c:f>
              <c:strCache>
                <c:ptCount val="2"/>
                <c:pt idx="0">
                  <c:v>2014</c:v>
                </c:pt>
              </c:strCache>
            </c:strRef>
          </c:tx>
          <c:spPr>
            <a:solidFill>
              <a:schemeClr val="accent6"/>
            </a:solidFill>
            <a:ln>
              <a:noFill/>
            </a:ln>
            <a:effectLst/>
          </c:spPr>
          <c:invertIfNegative val="0"/>
          <c:cat>
            <c:strRef>
              <c:f>'Edo - soc'!$A$7:$A$48</c:f>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f>'Edo - soc'!$G$7:$G$48</c:f>
              <c:numCache>
                <c:formatCode>#,##0.00_ ;\-#,##0.00\ </c:formatCode>
                <c:ptCount val="10"/>
                <c:pt idx="0">
                  <c:v>44.779194559661001</c:v>
                </c:pt>
                <c:pt idx="1">
                  <c:v>200.45917264595801</c:v>
                </c:pt>
                <c:pt idx="2">
                  <c:v>1405.1612156153101</c:v>
                </c:pt>
                <c:pt idx="3">
                  <c:v>60.247885213514103</c:v>
                </c:pt>
                <c:pt idx="4">
                  <c:v>236.05540949995</c:v>
                </c:pt>
                <c:pt idx="5">
                  <c:v>1425.1157033813299</c:v>
                </c:pt>
                <c:pt idx="6">
                  <c:v>228.91238483758301</c:v>
                </c:pt>
                <c:pt idx="7">
                  <c:v>285.62051992946698</c:v>
                </c:pt>
                <c:pt idx="8">
                  <c:v>606.34825171859097</c:v>
                </c:pt>
                <c:pt idx="9">
                  <c:v>2363</c:v>
                </c:pt>
              </c:numCache>
            </c:numRef>
          </c:val>
          <c:extLst>
            <c:ext xmlns:c16="http://schemas.microsoft.com/office/drawing/2014/chart" uri="{C3380CC4-5D6E-409C-BE32-E72D297353CC}">
              <c16:uniqueId val="{00000001-968F-4E84-B276-FC67B3BA556D}"/>
            </c:ext>
          </c:extLst>
        </c:ser>
        <c:ser>
          <c:idx val="8"/>
          <c:order val="8"/>
          <c:tx>
            <c:strRef>
              <c:f>'Edo - soc'!$J$5:$J$6</c:f>
              <c:strCache>
                <c:ptCount val="2"/>
                <c:pt idx="0">
                  <c:v>2017</c:v>
                </c:pt>
              </c:strCache>
            </c:strRef>
          </c:tx>
          <c:spPr>
            <a:solidFill>
              <a:schemeClr val="accent3">
                <a:lumMod val="60000"/>
              </a:schemeClr>
            </a:solidFill>
            <a:ln>
              <a:noFill/>
            </a:ln>
            <a:effectLst/>
          </c:spPr>
          <c:invertIfNegative val="0"/>
          <c:cat>
            <c:strRef>
              <c:f>'Edo - soc'!$A$7:$A$48</c:f>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f>'Edo - soc'!$J$7:$J$48</c:f>
              <c:numCache>
                <c:formatCode>#,##0.00_ ;\-#,##0.00\ </c:formatCode>
                <c:ptCount val="10"/>
                <c:pt idx="0">
                  <c:v>32.913314451051399</c:v>
                </c:pt>
                <c:pt idx="1">
                  <c:v>235.533602698382</c:v>
                </c:pt>
                <c:pt idx="2">
                  <c:v>1776.18006698554</c:v>
                </c:pt>
                <c:pt idx="3">
                  <c:v>56.701450877923598</c:v>
                </c:pt>
                <c:pt idx="4">
                  <c:v>188.27882321302999</c:v>
                </c:pt>
                <c:pt idx="5">
                  <c:v>1709.58545958687</c:v>
                </c:pt>
                <c:pt idx="6">
                  <c:v>176.87825162323</c:v>
                </c:pt>
                <c:pt idx="7">
                  <c:v>376.88843783321602</c:v>
                </c:pt>
                <c:pt idx="8">
                  <c:v>660.55177847836296</c:v>
                </c:pt>
                <c:pt idx="9">
                  <c:v>1821</c:v>
                </c:pt>
              </c:numCache>
            </c:numRef>
          </c:val>
          <c:extLst>
            <c:ext xmlns:c16="http://schemas.microsoft.com/office/drawing/2014/chart" uri="{C3380CC4-5D6E-409C-BE32-E72D297353CC}">
              <c16:uniqueId val="{00000002-968F-4E84-B276-FC67B3BA556D}"/>
            </c:ext>
          </c:extLst>
        </c:ser>
        <c:dLbls>
          <c:showLegendKey val="0"/>
          <c:showVal val="0"/>
          <c:showCatName val="0"/>
          <c:showSerName val="0"/>
          <c:showPercent val="0"/>
          <c:showBubbleSize val="0"/>
        </c:dLbls>
        <c:gapWidth val="219"/>
        <c:overlap val="-27"/>
        <c:axId val="525857352"/>
        <c:axId val="525858992"/>
        <c:extLst>
          <c:ext xmlns:c15="http://schemas.microsoft.com/office/drawing/2012/chart" uri="{02D57815-91ED-43cb-92C2-25804820EDAC}">
            <c15:filteredBarSeries>
              <c15:ser>
                <c:idx val="0"/>
                <c:order val="0"/>
                <c:tx>
                  <c:strRef>
                    <c:extLst>
                      <c:ext uri="{02D57815-91ED-43cb-92C2-25804820EDAC}">
                        <c15:formulaRef>
                          <c15:sqref>'Edo - soc'!$B$5:$B$6</c15:sqref>
                        </c15:formulaRef>
                      </c:ext>
                    </c:extLst>
                    <c:strCache>
                      <c:ptCount val="2"/>
                      <c:pt idx="0">
                        <c:v>Year</c:v>
                      </c:pt>
                      <c:pt idx="1">
                        <c:v>Country</c:v>
                      </c:pt>
                    </c:strCache>
                  </c:strRef>
                </c:tx>
                <c:spPr>
                  <a:solidFill>
                    <a:schemeClr val="accent1"/>
                  </a:solidFill>
                  <a:ln>
                    <a:noFill/>
                  </a:ln>
                  <a:effectLst/>
                </c:spPr>
                <c:invertIfNegative val="0"/>
                <c:cat>
                  <c:strRef>
                    <c:extLst>
                      <c:ext uri="{02D57815-91ED-43cb-92C2-25804820EDAC}">
                        <c15:formulaRef>
                          <c15:sqref>'Edo - soc'!$A$7:$A$48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c:ext uri="{02D57815-91ED-43cb-92C2-25804820EDAC}">
                        <c15:formulaRef>
                          <c15:sqref>'Edo - soc'!$B$7:$B$48</c15:sqref>
                        </c15:formulaRef>
                      </c:ext>
                    </c:extLst>
                    <c:numCache>
                      <c:formatCode>General</c:formatCode>
                      <c:ptCount val="10"/>
                    </c:numCache>
                  </c:numRef>
                </c:val>
                <c:extLst>
                  <c:ext xmlns:c16="http://schemas.microsoft.com/office/drawing/2014/chart" uri="{C3380CC4-5D6E-409C-BE32-E72D297353CC}">
                    <c16:uniqueId val="{00000003-968F-4E84-B276-FC67B3BA556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'Edo - soc'!$C$5:$C$6</c15:sqref>
                        </c15:formulaRef>
                      </c:ext>
                    </c:extLst>
                    <c:strCache>
                      <c:ptCount val="2"/>
                      <c:pt idx="0">
                        <c:v>Year</c:v>
                      </c:pt>
                      <c:pt idx="1">
                        <c:v>Country</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'Edo - soc'!$A$7:$A$48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soc'!$C$7:$C$48</c15:sqref>
                        </c15:formulaRef>
                      </c:ext>
                    </c:extLst>
                    <c:numCache>
                      <c:formatCode>General</c:formatCode>
                      <c:ptCount val="10"/>
                      <c:pt idx="0">
                        <c:v>0</c:v>
                      </c:pt>
                      <c:pt idx="1">
                        <c:v>0</c:v>
                      </c:pt>
                      <c:pt idx="2">
                        <c:v>0</c:v>
                      </c:pt>
                      <c:pt idx="3">
                        <c:v>0</c:v>
                      </c:pt>
                      <c:pt idx="4">
                        <c:v>0</c:v>
                      </c:pt>
                      <c:pt idx="5">
                        <c:v>0</c:v>
                      </c:pt>
                      <c:pt idx="6">
                        <c:v>0</c:v>
                      </c:pt>
                      <c:pt idx="7">
                        <c:v>0</c:v>
                      </c:pt>
                      <c:pt idx="8">
                        <c:v>0</c:v>
                      </c:pt>
                      <c:pt idx="9">
                        <c:v>0</c:v>
                      </c:pt>
                    </c:numCache>
                  </c:numRef>
                </c:val>
                <c:extLst xmlns:c15="http://schemas.microsoft.com/office/drawing/2012/chart">
                  <c:ext xmlns:c16="http://schemas.microsoft.com/office/drawing/2014/chart" uri="{C3380CC4-5D6E-409C-BE32-E72D297353CC}">
                    <c16:uniqueId val="{00000004-968F-4E84-B276-FC67B3BA556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'Edo - soc'!$E$5:$E$6</c15:sqref>
                        </c15:formulaRef>
                      </c:ext>
                    </c:extLst>
                    <c:strCache>
                      <c:ptCount val="2"/>
                      <c:pt idx="0">
                        <c:v>2012</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'Edo - soc'!$A$7:$A$48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soc'!$E$7:$E$48</c15:sqref>
                        </c15:formulaRef>
                      </c:ext>
                    </c:extLst>
                    <c:numCache>
                      <c:formatCode>#,##0.00_ ;\-#,##0.00\ </c:formatCode>
                      <c:ptCount val="10"/>
                      <c:pt idx="0">
                        <c:v>34.369297920106902</c:v>
                      </c:pt>
                      <c:pt idx="1">
                        <c:v>170.19788109262001</c:v>
                      </c:pt>
                      <c:pt idx="2">
                        <c:v>1179.64398749576</c:v>
                      </c:pt>
                      <c:pt idx="3">
                        <c:v>71.447380560081598</c:v>
                      </c:pt>
                      <c:pt idx="4">
                        <c:v>224.006043955042</c:v>
                      </c:pt>
                      <c:pt idx="5">
                        <c:v>310.92131353722999</c:v>
                      </c:pt>
                      <c:pt idx="6">
                        <c:v>185.885823771546</c:v>
                      </c:pt>
                      <c:pt idx="7">
                        <c:v>229.626977210164</c:v>
                      </c:pt>
                      <c:pt idx="8">
                        <c:v>490.28422074152598</c:v>
                      </c:pt>
                      <c:pt idx="9">
                        <c:v>1153</c:v>
                      </c:pt>
                    </c:numCache>
                  </c:numRef>
                </c:val>
                <c:extLst xmlns:c15="http://schemas.microsoft.com/office/drawing/2012/chart">
                  <c:ext xmlns:c16="http://schemas.microsoft.com/office/drawing/2014/chart" uri="{C3380CC4-5D6E-409C-BE32-E72D297353CC}">
                    <c16:uniqueId val="{00000005-968F-4E84-B276-FC67B3BA556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'Edo - soc'!$F$5:$F$6</c15:sqref>
                        </c15:formulaRef>
                      </c:ext>
                    </c:extLst>
                    <c:strCache>
                      <c:ptCount val="2"/>
                      <c:pt idx="0">
                        <c:v>2013</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'Edo - soc'!$A$7:$A$48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soc'!$F$7:$F$48</c15:sqref>
                        </c15:formulaRef>
                      </c:ext>
                    </c:extLst>
                    <c:numCache>
                      <c:formatCode>#,##0.00_ ;\-#,##0.00\ </c:formatCode>
                      <c:ptCount val="10"/>
                      <c:pt idx="0">
                        <c:v>37.093394255042703</c:v>
                      </c:pt>
                      <c:pt idx="1">
                        <c:v>215.80330451504901</c:v>
                      </c:pt>
                      <c:pt idx="2">
                        <c:v>1318.49895862212</c:v>
                      </c:pt>
                      <c:pt idx="3">
                        <c:v>60.449540737127599</c:v>
                      </c:pt>
                      <c:pt idx="4">
                        <c:v>236.45970398962601</c:v>
                      </c:pt>
                      <c:pt idx="5">
                        <c:v>1362.6474139597799</c:v>
                      </c:pt>
                      <c:pt idx="6">
                        <c:v>208.017422929872</c:v>
                      </c:pt>
                      <c:pt idx="7">
                        <c:v>219.18031238035601</c:v>
                      </c:pt>
                      <c:pt idx="8">
                        <c:v>515.211856604113</c:v>
                      </c:pt>
                      <c:pt idx="9">
                        <c:v>1794</c:v>
                      </c:pt>
                    </c:numCache>
                  </c:numRef>
                </c:val>
                <c:extLst xmlns:c15="http://schemas.microsoft.com/office/drawing/2012/chart">
                  <c:ext xmlns:c16="http://schemas.microsoft.com/office/drawing/2014/chart" uri="{C3380CC4-5D6E-409C-BE32-E72D297353CC}">
                    <c16:uniqueId val="{00000006-968F-4E84-B276-FC67B3BA556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'Edo - soc'!$H$5:$H$6</c15:sqref>
                        </c15:formulaRef>
                      </c:ext>
                    </c:extLst>
                    <c:strCache>
                      <c:ptCount val="2"/>
                      <c:pt idx="0">
                        <c:v>2015</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'Edo - soc'!$A$7:$A$48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soc'!$H$7:$H$48</c15:sqref>
                        </c15:formulaRef>
                      </c:ext>
                    </c:extLst>
                    <c:numCache>
                      <c:formatCode>#,##0.00_ ;\-#,##0.00\ </c:formatCode>
                      <c:ptCount val="10"/>
                      <c:pt idx="0">
                        <c:v>41.966086813186301</c:v>
                      </c:pt>
                      <c:pt idx="1">
                        <c:v>225.41564966099699</c:v>
                      </c:pt>
                      <c:pt idx="2">
                        <c:v>1541.6372297932601</c:v>
                      </c:pt>
                      <c:pt idx="3">
                        <c:v>55.604765943304699</c:v>
                      </c:pt>
                      <c:pt idx="4">
                        <c:v>221.692198649983</c:v>
                      </c:pt>
                      <c:pt idx="5">
                        <c:v>1492.5748649403099</c:v>
                      </c:pt>
                      <c:pt idx="6">
                        <c:v>242.48174610045601</c:v>
                      </c:pt>
                      <c:pt idx="7">
                        <c:v>298.58641271122298</c:v>
                      </c:pt>
                      <c:pt idx="8">
                        <c:v>618.45964661007804</c:v>
                      </c:pt>
                      <c:pt idx="9">
                        <c:v>1988</c:v>
                      </c:pt>
                    </c:numCache>
                  </c:numRef>
                </c:val>
                <c:extLst xmlns:c15="http://schemas.microsoft.com/office/drawing/2012/chart">
                  <c:ext xmlns:c16="http://schemas.microsoft.com/office/drawing/2014/chart" uri="{C3380CC4-5D6E-409C-BE32-E72D297353CC}">
                    <c16:uniqueId val="{00000007-968F-4E84-B276-FC67B3BA556D}"/>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'Edo - soc'!$I$5:$I$6</c15:sqref>
                        </c15:formulaRef>
                      </c:ext>
                    </c:extLst>
                    <c:strCache>
                      <c:ptCount val="2"/>
                      <c:pt idx="0">
                        <c:v>2016</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'Edo - soc'!$A$7:$A$48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soc'!$I$7:$I$48</c15:sqref>
                        </c15:formulaRef>
                      </c:ext>
                    </c:extLst>
                    <c:numCache>
                      <c:formatCode>#,##0.00_ ;\-#,##0.00\ </c:formatCode>
                      <c:ptCount val="10"/>
                      <c:pt idx="0">
                        <c:v>39.8726528895413</c:v>
                      </c:pt>
                      <c:pt idx="1">
                        <c:v>213.19763149421399</c:v>
                      </c:pt>
                      <c:pt idx="2">
                        <c:v>1500.68173846134</c:v>
                      </c:pt>
                      <c:pt idx="3">
                        <c:v>60.950547244488398</c:v>
                      </c:pt>
                      <c:pt idx="4">
                        <c:v>171.33881081828301</c:v>
                      </c:pt>
                      <c:pt idx="5">
                        <c:v>1560.98170301288</c:v>
                      </c:pt>
                      <c:pt idx="6">
                        <c:v>236.86826510345699</c:v>
                      </c:pt>
                      <c:pt idx="7">
                        <c:v>277.28633423814</c:v>
                      </c:pt>
                      <c:pt idx="8">
                        <c:v>629.94553135383796</c:v>
                      </c:pt>
                      <c:pt idx="9">
                        <c:v>1751</c:v>
                      </c:pt>
                    </c:numCache>
                  </c:numRef>
                </c:val>
                <c:extLst xmlns:c15="http://schemas.microsoft.com/office/drawing/2012/chart">
                  <c:ext xmlns:c16="http://schemas.microsoft.com/office/drawing/2014/chart" uri="{C3380CC4-5D6E-409C-BE32-E72D297353CC}">
                    <c16:uniqueId val="{00000008-968F-4E84-B276-FC67B3BA556D}"/>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'Edo - soc'!$K$5:$K$6</c15:sqref>
                        </c15:formulaRef>
                      </c:ext>
                    </c:extLst>
                    <c:strCache>
                      <c:ptCount val="2"/>
                      <c:pt idx="0">
                        <c:v>2018</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'Edo - soc'!$A$7:$A$48</c15:sqref>
                        </c15:formulaRef>
                      </c:ext>
                    </c:extLst>
                    <c:strCache>
                      <c:ptCount val="10"/>
                      <c:pt idx="0">
                        <c:v>Chile</c:v>
                      </c:pt>
                      <c:pt idx="1">
                        <c:v>Dinamarca</c:v>
                      </c:pt>
                      <c:pt idx="2">
                        <c:v>Alemania</c:v>
                      </c:pt>
                      <c:pt idx="3">
                        <c:v>Israel</c:v>
                      </c:pt>
                      <c:pt idx="4">
                        <c:v>Japón</c:v>
                      </c:pt>
                      <c:pt idx="5">
                        <c:v>Korea</c:v>
                      </c:pt>
                      <c:pt idx="6">
                        <c:v>México</c:v>
                      </c:pt>
                      <c:pt idx="7">
                        <c:v>España</c:v>
                      </c:pt>
                      <c:pt idx="8">
                        <c:v>Reino Unido</c:v>
                      </c:pt>
                      <c:pt idx="9">
                        <c:v>Estados Unidos</c:v>
                      </c:pt>
                    </c:strCache>
                  </c:strRef>
                </c:cat>
                <c:val>
                  <c:numRef>
                    <c:extLst xmlns:c15="http://schemas.microsoft.com/office/drawing/2012/chart">
                      <c:ext xmlns:c15="http://schemas.microsoft.com/office/drawing/2012/chart" uri="{02D57815-91ED-43cb-92C2-25804820EDAC}">
                        <c15:formulaRef>
                          <c15:sqref>'Edo - soc'!$K$7:$K$48</c15:sqref>
                        </c15:formulaRef>
                      </c:ext>
                    </c:extLst>
                    <c:numCache>
                      <c:formatCode>#,##0.00_ ;\-#,##0.00\ </c:formatCode>
                      <c:ptCount val="10"/>
                      <c:pt idx="0">
                        <c:v>0</c:v>
                      </c:pt>
                      <c:pt idx="1">
                        <c:v>227.846239464082</c:v>
                      </c:pt>
                      <c:pt idx="2">
                        <c:v>1855.30238333329</c:v>
                      </c:pt>
                      <c:pt idx="3">
                        <c:v>0</c:v>
                      </c:pt>
                      <c:pt idx="4">
                        <c:v>308.89956926161898</c:v>
                      </c:pt>
                      <c:pt idx="5">
                        <c:v>0</c:v>
                      </c:pt>
                      <c:pt idx="6">
                        <c:v>0</c:v>
                      </c:pt>
                      <c:pt idx="7">
                        <c:v>0</c:v>
                      </c:pt>
                      <c:pt idx="8">
                        <c:v>0</c:v>
                      </c:pt>
                      <c:pt idx="9">
                        <c:v>1716</c:v>
                      </c:pt>
                    </c:numCache>
                  </c:numRef>
                </c:val>
                <c:extLst xmlns:c15="http://schemas.microsoft.com/office/drawing/2012/chart">
                  <c:ext xmlns:c16="http://schemas.microsoft.com/office/drawing/2014/chart" uri="{C3380CC4-5D6E-409C-BE32-E72D297353CC}">
                    <c16:uniqueId val="{00000009-968F-4E84-B276-FC67B3BA556D}"/>
                  </c:ext>
                </c:extLst>
              </c15:ser>
            </c15:filteredBarSeries>
          </c:ext>
        </c:extLst>
      </c:barChart>
      <c:catAx>
        <c:axId val="525857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25858992"/>
        <c:crosses val="autoZero"/>
        <c:auto val="1"/>
        <c:lblAlgn val="ctr"/>
        <c:lblOffset val="100"/>
        <c:noMultiLvlLbl val="0"/>
      </c:catAx>
      <c:valAx>
        <c:axId val="52585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a:t>Millones de dólares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numFmt formatCode="#,##0.00_ ;\-#,##0.0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25857352"/>
        <c:crosses val="autoZero"/>
        <c:crossBetween val="between"/>
      </c:valAx>
      <c:spPr>
        <a:noFill/>
        <a:ln>
          <a:noFill/>
        </a:ln>
        <a:effectLst/>
      </c:spPr>
    </c:plotArea>
    <c:legend>
      <c:legendPos val="b"/>
      <c:layout>
        <c:manualLayout>
          <c:xMode val="edge"/>
          <c:yMode val="edge"/>
          <c:x val="0.28045712416259577"/>
          <c:y val="0.93582416701729076"/>
          <c:w val="0.51361976492068928"/>
          <c:h val="4.80439823662818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spPr>
      <a:ln w="9525" cap="flat" cmpd="sng" algn="ctr">
        <a:solidFill>
          <a:schemeClr val="tx2">
            <a:lumMod val="40000"/>
            <a:lumOff val="60000"/>
          </a:schemeClr>
        </a:solidFill>
        <a:round/>
      </a:ln>
    </cs:spPr>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0.88162</cdr:y>
    </cdr:from>
    <cdr:to>
      <cdr:x>0.95553</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904875" y="2983327"/>
          <a:ext cx="5090729" cy="4005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endParaRPr lang="es-MX" sz="1200">
            <a:solidFill>
              <a:sysClr val="windowText" lastClr="000000"/>
            </a:solidFill>
            <a:effectLst/>
            <a:latin typeface="Times New Roman" panose="02020603050405020304" pitchFamily="18" charset="0"/>
            <a:ea typeface="MS Mincho"/>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0.93285</cdr:y>
    </cdr:from>
    <cdr:to>
      <cdr:x>0.87441</cdr:x>
      <cdr:y>0.98868</cdr:y>
    </cdr:to>
    <cdr:sp macro="" textlink="">
      <cdr:nvSpPr>
        <cdr:cNvPr id="2" name="CuadroTexto 1"/>
        <cdr:cNvSpPr txBox="1"/>
      </cdr:nvSpPr>
      <cdr:spPr>
        <a:xfrm xmlns:a="http://schemas.openxmlformats.org/drawingml/2006/main">
          <a:off x="0" y="3660775"/>
          <a:ext cx="6134100" cy="2191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CON09</b:Tag>
    <b:SourceType>DocumentFromInternetSite</b:SourceType>
    <b:Guid>{FB5A154E-4DBB-4A85-8B8E-D51D203F7FD5}</b:Guid>
    <b:Title>CONICYT</b:Title>
    <b:Year>2009</b:Year>
    <b:Month>julio</b:Month>
    <b:Day>12</b:Day>
    <b:YearAccessed>2016</b:YearAccessed>
    <b:MonthAccessed>mayo</b:MonthAccessed>
    <b:DayAccessed>25</b:DayAccessed>
    <b:URL>http://www.conicyt.cl/fondef/files/downloads/2012/09/fondefCONICYT.pdf</b:URL>
    <b:ShortTitle>Folleto Fondef</b:ShortTitle>
    <b:Author>
      <b:Author>
        <b:NameList>
          <b:Person>
            <b:Last>CONICYT</b:Last>
          </b:Person>
        </b:NameList>
      </b:Author>
    </b:Author>
    <b:RefOrder>1</b:RefOrder>
  </b:Source>
</b:Sources>
</file>

<file path=customXml/itemProps1.xml><?xml version="1.0" encoding="utf-8"?>
<ds:datastoreItem xmlns:ds="http://schemas.openxmlformats.org/officeDocument/2006/customXml" ds:itemID="{3419C35A-31C9-4F91-B3D6-48505911A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64</Pages>
  <Words>14464</Words>
  <Characters>79553</Characters>
  <Application>Microsoft Office Word</Application>
  <DocSecurity>0</DocSecurity>
  <Lines>662</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C</dc:creator>
  <cp:keywords/>
  <dc:description/>
  <cp:lastModifiedBy>HP</cp:lastModifiedBy>
  <cp:revision>11</cp:revision>
  <cp:lastPrinted>2018-12-10T18:18:00Z</cp:lastPrinted>
  <dcterms:created xsi:type="dcterms:W3CDTF">2020-02-17T18:54:00Z</dcterms:created>
  <dcterms:modified xsi:type="dcterms:W3CDTF">2020-02-18T20:07:00Z</dcterms:modified>
</cp:coreProperties>
</file>